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6F1" w:rsidRPr="00C603A9" w:rsidRDefault="00703123">
      <w:pPr>
        <w:jc w:val="center"/>
      </w:pPr>
      <w:r>
        <w:rPr>
          <w:noProof/>
        </w:rPr>
        <w:drawing>
          <wp:inline distT="0" distB="0" distL="0" distR="0">
            <wp:extent cx="1205551" cy="16498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0401" cy="1670199"/>
                    </a:xfrm>
                    <a:prstGeom prst="rect">
                      <a:avLst/>
                    </a:prstGeom>
                  </pic:spPr>
                </pic:pic>
              </a:graphicData>
            </a:graphic>
          </wp:inline>
        </w:drawing>
      </w:r>
    </w:p>
    <w:p w:rsidR="004905DF" w:rsidRPr="00C603A9" w:rsidRDefault="004905DF" w:rsidP="004905DF">
      <w:pPr>
        <w:pStyle w:val="Caption"/>
        <w:rPr>
          <w:sz w:val="48"/>
          <w:szCs w:val="48"/>
        </w:rPr>
      </w:pPr>
      <w:r w:rsidRPr="00C603A9">
        <w:rPr>
          <w:sz w:val="48"/>
          <w:szCs w:val="48"/>
        </w:rPr>
        <w:t>State of Palestine</w:t>
      </w:r>
    </w:p>
    <w:p w:rsidR="00392F20" w:rsidRPr="004B3890" w:rsidRDefault="00392F20" w:rsidP="00392F20">
      <w:pPr>
        <w:pStyle w:val="Caption"/>
        <w:rPr>
          <w:szCs w:val="52"/>
        </w:rPr>
      </w:pPr>
      <w:r w:rsidRPr="004B3890">
        <w:rPr>
          <w:szCs w:val="52"/>
        </w:rPr>
        <w:t>Palestinian Central Bureau of Statistics</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Pr>
      </w:pPr>
    </w:p>
    <w:p w:rsidR="000A4537" w:rsidRPr="00C603A9" w:rsidRDefault="00F003CB" w:rsidP="00392F20">
      <w:pPr>
        <w:pStyle w:val="BodyText"/>
        <w:jc w:val="center"/>
        <w:rPr>
          <w:b/>
          <w:bCs/>
          <w:sz w:val="40"/>
          <w:szCs w:val="40"/>
        </w:rPr>
      </w:pPr>
      <w:r>
        <w:rPr>
          <w:b/>
          <w:bCs/>
          <w:sz w:val="40"/>
          <w:szCs w:val="40"/>
        </w:rPr>
        <w:t>Israeli Settlements in the West Bank</w:t>
      </w:r>
      <w:r w:rsidR="003916F1" w:rsidRPr="00C603A9">
        <w:rPr>
          <w:b/>
          <w:bCs/>
          <w:sz w:val="40"/>
          <w:szCs w:val="40"/>
        </w:rPr>
        <w:t xml:space="preserve"> </w:t>
      </w:r>
    </w:p>
    <w:p w:rsidR="003916F1" w:rsidRPr="009A51D4" w:rsidRDefault="003916F1" w:rsidP="00706476">
      <w:pPr>
        <w:pStyle w:val="BodyText"/>
        <w:jc w:val="center"/>
        <w:rPr>
          <w:b/>
          <w:bCs/>
          <w:sz w:val="36"/>
          <w:szCs w:val="36"/>
        </w:rPr>
      </w:pPr>
      <w:r w:rsidRPr="00C603A9">
        <w:rPr>
          <w:b/>
          <w:bCs/>
          <w:sz w:val="40"/>
          <w:szCs w:val="40"/>
        </w:rPr>
        <w:t>Annual Statistical Report</w:t>
      </w:r>
      <w:r w:rsidR="009A51D4">
        <w:rPr>
          <w:b/>
          <w:bCs/>
          <w:sz w:val="40"/>
          <w:szCs w:val="40"/>
        </w:rPr>
        <w:t xml:space="preserve">, </w:t>
      </w:r>
      <w:r w:rsidR="00706476">
        <w:rPr>
          <w:b/>
          <w:bCs/>
          <w:sz w:val="40"/>
          <w:szCs w:val="40"/>
        </w:rPr>
        <w:t>2020</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0B7819" w:rsidRDefault="003916F1">
      <w:pPr>
        <w:ind w:right="368" w:firstLine="284"/>
        <w:jc w:val="center"/>
        <w:rPr>
          <w:b/>
          <w:bCs/>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703123" w:rsidRDefault="003916F1">
      <w:pPr>
        <w:ind w:right="368" w:firstLine="284"/>
        <w:jc w:val="center"/>
        <w:rPr>
          <w:b/>
          <w:bCs/>
          <w:sz w:val="6"/>
          <w:szCs w:val="6"/>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tbl>
      <w:tblPr>
        <w:tblW w:w="9072" w:type="dxa"/>
        <w:jc w:val="center"/>
        <w:tblCellMar>
          <w:left w:w="0" w:type="dxa"/>
          <w:right w:w="0" w:type="dxa"/>
        </w:tblCellMar>
        <w:tblLook w:val="04A0" w:firstRow="1" w:lastRow="0" w:firstColumn="1" w:lastColumn="0" w:noHBand="0" w:noVBand="1"/>
      </w:tblPr>
      <w:tblGrid>
        <w:gridCol w:w="4111"/>
        <w:gridCol w:w="4961"/>
      </w:tblGrid>
      <w:tr w:rsidR="00656361" w:rsidTr="00656361">
        <w:trPr>
          <w:trHeight w:val="1134"/>
          <w:jc w:val="center"/>
        </w:trPr>
        <w:tc>
          <w:tcPr>
            <w:tcW w:w="4111" w:type="dxa"/>
            <w:tcBorders>
              <w:top w:val="single" w:sz="8" w:space="0" w:color="auto"/>
              <w:left w:val="nil"/>
              <w:bottom w:val="nil"/>
              <w:right w:val="nil"/>
            </w:tcBorders>
            <w:tcMar>
              <w:top w:w="0" w:type="dxa"/>
              <w:left w:w="108" w:type="dxa"/>
              <w:bottom w:w="0" w:type="dxa"/>
              <w:right w:w="108" w:type="dxa"/>
            </w:tcMar>
            <w:vAlign w:val="center"/>
          </w:tcPr>
          <w:p w:rsidR="00656361" w:rsidRDefault="00656361">
            <w:pPr>
              <w:rPr>
                <w:rFonts w:ascii="Arial" w:eastAsiaTheme="minorHAnsi" w:hAnsi="Arial" w:cs="Arial"/>
                <w:sz w:val="12"/>
                <w:szCs w:val="12"/>
              </w:rPr>
            </w:pPr>
          </w:p>
          <w:p w:rsidR="00656361" w:rsidRDefault="00F15515">
            <w:pPr>
              <w:rPr>
                <w:rFonts w:eastAsiaTheme="minorHAnsi"/>
              </w:rPr>
            </w:pPr>
            <w:r w:rsidRPr="00F15515">
              <w:rPr>
                <w:rFonts w:eastAsiaTheme="minorHAnsi"/>
                <w:noProof/>
              </w:rPr>
              <w:drawing>
                <wp:inline distT="0" distB="0" distL="0" distR="0">
                  <wp:extent cx="792000" cy="792000"/>
                  <wp:effectExtent l="19050" t="0" r="8100" b="0"/>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961" w:type="dxa"/>
            <w:tcBorders>
              <w:top w:val="single" w:sz="8" w:space="0" w:color="auto"/>
              <w:left w:val="nil"/>
              <w:bottom w:val="nil"/>
              <w:right w:val="nil"/>
            </w:tcBorders>
            <w:tcMar>
              <w:top w:w="0" w:type="dxa"/>
              <w:left w:w="108" w:type="dxa"/>
              <w:bottom w:w="0" w:type="dxa"/>
              <w:right w:w="108" w:type="dxa"/>
            </w:tcMar>
            <w:vAlign w:val="center"/>
          </w:tcPr>
          <w:p w:rsidR="00656361" w:rsidRDefault="00A12986">
            <w:pPr>
              <w:pStyle w:val="Heading5"/>
              <w:jc w:val="right"/>
              <w:rPr>
                <w:rFonts w:cs="Times New Roman"/>
                <w:b w:val="0"/>
                <w:bCs w:val="0"/>
                <w:sz w:val="10"/>
                <w:szCs w:val="10"/>
              </w:rPr>
            </w:pPr>
            <w:r>
              <w:rPr>
                <w:b w:val="0"/>
                <w:bCs w:val="0"/>
                <w:noProof/>
                <w:sz w:val="28"/>
                <w:szCs w:val="28"/>
              </w:rPr>
              <w:drawing>
                <wp:inline distT="0" distB="0" distL="0" distR="0">
                  <wp:extent cx="913518" cy="310378"/>
                  <wp:effectExtent l="19050" t="0" r="882" b="0"/>
                  <wp:docPr id="7" name="Picture 3"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bs.gif"/>
                          <pic:cNvPicPr>
                            <a:picLocks noChangeAspect="1" noChangeArrowheads="1"/>
                          </pic:cNvPicPr>
                        </pic:nvPicPr>
                        <pic:blipFill>
                          <a:blip r:embed="rId10" r:link="rId11" cstate="print"/>
                          <a:srcRect/>
                          <a:stretch>
                            <a:fillRect/>
                          </a:stretch>
                        </pic:blipFill>
                        <pic:spPr bwMode="auto">
                          <a:xfrm>
                            <a:off x="0" y="0"/>
                            <a:ext cx="916583" cy="311419"/>
                          </a:xfrm>
                          <a:prstGeom prst="rect">
                            <a:avLst/>
                          </a:prstGeom>
                          <a:noFill/>
                          <a:ln w="9525">
                            <a:noFill/>
                            <a:miter lim="800000"/>
                            <a:headEnd/>
                            <a:tailEnd/>
                          </a:ln>
                        </pic:spPr>
                      </pic:pic>
                    </a:graphicData>
                  </a:graphic>
                </wp:inline>
              </w:drawing>
            </w:r>
          </w:p>
          <w:p w:rsidR="00656361" w:rsidRPr="00A12986" w:rsidRDefault="00656361">
            <w:pPr>
              <w:jc w:val="right"/>
              <w:rPr>
                <w:rFonts w:eastAsiaTheme="minorHAnsi"/>
                <w:sz w:val="10"/>
                <w:szCs w:val="10"/>
              </w:rPr>
            </w:pPr>
          </w:p>
          <w:p w:rsidR="00656361" w:rsidRDefault="00656361" w:rsidP="00706476">
            <w:pPr>
              <w:pStyle w:val="Heading5"/>
              <w:jc w:val="right"/>
              <w:rPr>
                <w:b w:val="0"/>
                <w:bCs w:val="0"/>
                <w:sz w:val="28"/>
                <w:szCs w:val="28"/>
              </w:rPr>
            </w:pPr>
            <w:r>
              <w:rPr>
                <w:sz w:val="28"/>
                <w:szCs w:val="28"/>
              </w:rPr>
              <w:t>                                     </w:t>
            </w:r>
            <w:r w:rsidR="000D61D3" w:rsidRPr="000D61D3">
              <w:rPr>
                <w:sz w:val="28"/>
                <w:szCs w:val="28"/>
              </w:rPr>
              <w:t>November</w:t>
            </w:r>
            <w:r>
              <w:rPr>
                <w:sz w:val="28"/>
                <w:szCs w:val="28"/>
              </w:rPr>
              <w:t xml:space="preserve">, </w:t>
            </w:r>
            <w:r w:rsidR="00706476">
              <w:rPr>
                <w:sz w:val="28"/>
                <w:szCs w:val="28"/>
              </w:rPr>
              <w:t>2021</w:t>
            </w:r>
          </w:p>
          <w:p w:rsidR="00656361" w:rsidRDefault="00656361">
            <w:pPr>
              <w:jc w:val="right"/>
              <w:rPr>
                <w:rFonts w:eastAsiaTheme="minorHAnsi"/>
                <w:sz w:val="14"/>
                <w:szCs w:val="14"/>
              </w:rPr>
            </w:pPr>
          </w:p>
        </w:tc>
      </w:tr>
    </w:tbl>
    <w:p w:rsidR="000D61D3" w:rsidRDefault="000D61D3">
      <w:pPr>
        <w:pStyle w:val="BodyText2"/>
        <w:jc w:val="lowKashida"/>
        <w:sectPr w:rsidR="000D61D3" w:rsidSect="00A25605">
          <w:pgSz w:w="11909" w:h="16834" w:code="9"/>
          <w:pgMar w:top="1418" w:right="1418" w:bottom="1418" w:left="1418" w:header="709" w:footer="709" w:gutter="0"/>
          <w:pgNumType w:start="25"/>
          <w:cols w:space="720"/>
          <w:bidi/>
          <w:rtlGutter/>
        </w:sectPr>
      </w:pPr>
    </w:p>
    <w:p w:rsidR="003916F1" w:rsidRPr="00C603A9" w:rsidRDefault="003916F1">
      <w:pPr>
        <w:pStyle w:val="BodyText2"/>
        <w:jc w:val="lowKashida"/>
      </w:pPr>
      <w:r w:rsidRPr="00C603A9">
        <w:lastRenderedPageBreak/>
        <w:t>PAGE NUMBERS OF ENGLISH TEXT ARE PRINTED IN SQUARE BRACKETS.</w:t>
      </w:r>
    </w:p>
    <w:p w:rsidR="003916F1" w:rsidRPr="00C603A9" w:rsidRDefault="003916F1">
      <w:pPr>
        <w:jc w:val="lowKashida"/>
        <w:rPr>
          <w:sz w:val="24"/>
          <w:szCs w:val="24"/>
        </w:rPr>
      </w:pPr>
      <w:r w:rsidRPr="00C603A9">
        <w:rPr>
          <w:sz w:val="24"/>
          <w:szCs w:val="24"/>
        </w:rPr>
        <w:t>TABLES ARE PRINTED IN THE ARABIC ORDER (FROM RIGHT TO LEFT)</w:t>
      </w:r>
    </w:p>
    <w:p w:rsidR="003916F1" w:rsidRPr="00C603A9" w:rsidRDefault="00725D07" w:rsidP="00F80373">
      <w:pPr>
        <w:rPr>
          <w:rFonts w:cs="Times New Roman"/>
          <w:sz w:val="16"/>
          <w:szCs w:val="16"/>
        </w:rPr>
      </w:pPr>
      <w:r>
        <w:rPr>
          <w:noProof/>
          <w:szCs w:val="24"/>
        </w:rPr>
        <mc:AlternateContent>
          <mc:Choice Requires="wps">
            <w:drawing>
              <wp:anchor distT="0" distB="0" distL="114300" distR="114300" simplePos="0" relativeHeight="251655680" behindDoc="0" locked="0" layoutInCell="1" allowOverlap="1">
                <wp:simplePos x="0" y="0"/>
                <wp:positionH relativeFrom="column">
                  <wp:posOffset>114300</wp:posOffset>
                </wp:positionH>
                <wp:positionV relativeFrom="paragraph">
                  <wp:posOffset>935990</wp:posOffset>
                </wp:positionV>
                <wp:extent cx="5372100" cy="800100"/>
                <wp:effectExtent l="43180" t="43815" r="42545" b="419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800100"/>
                        </a:xfrm>
                        <a:prstGeom prst="rect">
                          <a:avLst/>
                        </a:prstGeom>
                        <a:solidFill>
                          <a:srgbClr val="FFFFFF"/>
                        </a:solidFill>
                        <a:ln w="76200" cmpd="tri">
                          <a:solidFill>
                            <a:srgbClr val="000000"/>
                          </a:solidFill>
                          <a:miter lim="800000"/>
                          <a:headEnd/>
                          <a:tailEnd/>
                        </a:ln>
                      </wps:spPr>
                      <wps:txbx>
                        <w:txbxContent>
                          <w:p w:rsidR="009E1D61" w:rsidRDefault="009E1D61">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pt;margin-top:73.7pt;width:423pt;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" strokeweight="6pt">
                <v:stroke linestyle="thickBetweenThin"/>
                <v:textbox>
                  <w:txbxContent>
                    <w:p w:rsidR="009E1D61" w:rsidRDefault="009E1D61">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rsidR="003916F1" w:rsidRPr="00C603A9" w:rsidRDefault="003916F1">
      <w:pPr>
        <w:jc w:val="lowKashida"/>
        <w:rPr>
          <w:rFonts w:cs="Times New Roman"/>
          <w:sz w:val="16"/>
          <w:szCs w:val="16"/>
        </w:rPr>
      </w:pPr>
    </w:p>
    <w:p w:rsidR="003916F1" w:rsidRDefault="003916F1">
      <w:pPr>
        <w:jc w:val="lowKashida"/>
        <w:rPr>
          <w:rFonts w:cs="Times New Roman"/>
          <w:sz w:val="16"/>
          <w:szCs w:val="16"/>
        </w:rPr>
      </w:pPr>
    </w:p>
    <w:p w:rsidR="00F80373" w:rsidRPr="00C603A9" w:rsidRDefault="00F80373">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B8511D" w:rsidRDefault="00B8511D" w:rsidP="00F80373">
      <w:pPr>
        <w:jc w:val="center"/>
        <w:rPr>
          <w:rFonts w:cs="Simplified Arabic"/>
          <w:lang w:val="en-GB"/>
        </w:rPr>
      </w:pPr>
    </w:p>
    <w:p w:rsidR="003916F1" w:rsidRDefault="003916F1" w:rsidP="00551CFA">
      <w:pPr>
        <w:jc w:val="center"/>
        <w:rPr>
          <w:rFonts w:cs="Simplified Arabic"/>
          <w:noProof/>
        </w:rPr>
      </w:pPr>
    </w:p>
    <w:p w:rsidR="00815184" w:rsidRDefault="00815184" w:rsidP="00551CFA">
      <w:pPr>
        <w:jc w:val="center"/>
        <w:rPr>
          <w:rFonts w:cs="Simplified Arabic"/>
          <w:noProof/>
        </w:rPr>
      </w:pPr>
    </w:p>
    <w:p w:rsidR="00815184" w:rsidRDefault="00815184" w:rsidP="00551CFA">
      <w:pPr>
        <w:jc w:val="center"/>
        <w:rPr>
          <w:rFonts w:cs="Simplified Arabic"/>
          <w:noProof/>
        </w:rPr>
      </w:pPr>
    </w:p>
    <w:p w:rsidR="00815184" w:rsidRDefault="00815184" w:rsidP="00551CFA">
      <w:pPr>
        <w:jc w:val="center"/>
        <w:rPr>
          <w:rFonts w:cs="Simplified Arabic"/>
          <w:noProof/>
        </w:rPr>
      </w:pPr>
    </w:p>
    <w:p w:rsidR="00815184" w:rsidRDefault="00815184" w:rsidP="00551CFA">
      <w:pPr>
        <w:jc w:val="center"/>
        <w:rPr>
          <w:rFonts w:cs="Times New Roman"/>
          <w:sz w:val="16"/>
          <w:szCs w:val="16"/>
        </w:rPr>
      </w:pPr>
    </w:p>
    <w:p w:rsidR="00815184" w:rsidRDefault="00815184" w:rsidP="00551CFA">
      <w:pPr>
        <w:jc w:val="center"/>
        <w:rPr>
          <w:rFonts w:cs="Times New Roman"/>
          <w:sz w:val="16"/>
          <w:szCs w:val="16"/>
        </w:rPr>
      </w:pPr>
    </w:p>
    <w:p w:rsidR="00815184" w:rsidRDefault="00951FDE" w:rsidP="00551CFA">
      <w:pPr>
        <w:jc w:val="center"/>
        <w:rPr>
          <w:rFonts w:cs="Times New Roman"/>
          <w:sz w:val="16"/>
          <w:szCs w:val="16"/>
        </w:rPr>
      </w:pPr>
      <w:r>
        <w:rPr>
          <w:rFonts w:cs="Times New Roman"/>
          <w:noProof/>
          <w:sz w:val="16"/>
          <w:szCs w:val="16"/>
        </w:rPr>
        <w:drawing>
          <wp:anchor distT="0" distB="0" distL="114300" distR="114300" simplePos="0" relativeHeight="251660288" behindDoc="1" locked="0" layoutInCell="1" allowOverlap="1">
            <wp:simplePos x="0" y="0"/>
            <wp:positionH relativeFrom="column">
              <wp:posOffset>1667510</wp:posOffset>
            </wp:positionH>
            <wp:positionV relativeFrom="paragraph">
              <wp:posOffset>6350</wp:posOffset>
            </wp:positionV>
            <wp:extent cx="2265680" cy="2743200"/>
            <wp:effectExtent l="0" t="0" r="1270" b="0"/>
            <wp:wrapTight wrapText="bothSides">
              <wp:wrapPolygon edited="0">
                <wp:start x="0" y="0"/>
                <wp:lineTo x="0" y="21450"/>
                <wp:lineTo x="21430" y="21450"/>
                <wp:lineTo x="21430" y="0"/>
                <wp:lineTo x="0" y="0"/>
              </wp:wrapPolygon>
            </wp:wrapTight>
            <wp:docPr id="5" name="Picture 5" descr="C:\Users\mahmouda\AppData\Local\Microsoft\Windows\INetCache\Content.Word\Agriculture-Census-2021-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hmouda\AppData\Local\Microsoft\Windows\INetCache\Content.Word\Agriculture-Census-2021-Logo.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65680" cy="2743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15184" w:rsidRDefault="00815184" w:rsidP="00551CFA">
      <w:pPr>
        <w:jc w:val="center"/>
        <w:rPr>
          <w:rFonts w:cs="Times New Roman"/>
          <w:sz w:val="16"/>
          <w:szCs w:val="16"/>
        </w:rPr>
      </w:pPr>
    </w:p>
    <w:p w:rsidR="00815184" w:rsidRDefault="00815184" w:rsidP="00551CFA">
      <w:pPr>
        <w:jc w:val="center"/>
        <w:rPr>
          <w:rFonts w:cs="Times New Roman"/>
          <w:sz w:val="16"/>
          <w:szCs w:val="16"/>
        </w:rPr>
      </w:pPr>
    </w:p>
    <w:p w:rsidR="00815184" w:rsidRPr="00C603A9" w:rsidRDefault="00815184" w:rsidP="00551CFA">
      <w:pPr>
        <w:jc w:val="center"/>
        <w:rPr>
          <w:rFonts w:cs="Times New Roman"/>
          <w:sz w:val="16"/>
          <w:szCs w:val="16"/>
        </w:rPr>
      </w:pPr>
    </w:p>
    <w:p w:rsidR="003916F1" w:rsidRDefault="003916F1">
      <w:pPr>
        <w:pStyle w:val="Heading8"/>
        <w:jc w:val="center"/>
        <w:rPr>
          <w:sz w:val="16"/>
          <w:szCs w:val="10"/>
        </w:rPr>
      </w:pPr>
    </w:p>
    <w:p w:rsidR="00815184" w:rsidRDefault="00815184" w:rsidP="00815184"/>
    <w:p w:rsidR="00815184" w:rsidRDefault="00815184" w:rsidP="00815184"/>
    <w:p w:rsidR="00815184" w:rsidRDefault="00815184" w:rsidP="00815184"/>
    <w:p w:rsidR="00815184" w:rsidRDefault="00815184" w:rsidP="00815184"/>
    <w:p w:rsidR="00703123" w:rsidRDefault="00703123" w:rsidP="00703123"/>
    <w:p w:rsidR="003916F1" w:rsidRDefault="003916F1" w:rsidP="00BE4FF5">
      <w:pPr>
        <w:pStyle w:val="Heading8"/>
        <w:rPr>
          <w:sz w:val="28"/>
        </w:rPr>
      </w:pPr>
    </w:p>
    <w:p w:rsidR="003260D2" w:rsidRDefault="003260D2" w:rsidP="003260D2"/>
    <w:p w:rsidR="003260D2" w:rsidRDefault="003260D2" w:rsidP="003260D2"/>
    <w:p w:rsidR="003260D2" w:rsidRDefault="003260D2" w:rsidP="003260D2"/>
    <w:p w:rsidR="003260D2" w:rsidRDefault="003260D2" w:rsidP="003260D2"/>
    <w:p w:rsidR="003260D2" w:rsidRDefault="003260D2" w:rsidP="003260D2"/>
    <w:p w:rsidR="003260D2" w:rsidRDefault="003260D2" w:rsidP="003260D2"/>
    <w:p w:rsidR="003260D2" w:rsidRDefault="003260D2" w:rsidP="003260D2"/>
    <w:p w:rsidR="003260D2" w:rsidRDefault="003260D2" w:rsidP="003260D2"/>
    <w:p w:rsidR="003260D2" w:rsidRDefault="003260D2" w:rsidP="003260D2"/>
    <w:p w:rsidR="003260D2" w:rsidRDefault="003260D2" w:rsidP="003260D2">
      <w:bookmarkStart w:id="0" w:name="_GoBack"/>
      <w:bookmarkEnd w:id="0"/>
    </w:p>
    <w:p w:rsidR="003260D2" w:rsidRDefault="003260D2" w:rsidP="003260D2"/>
    <w:p w:rsidR="003260D2" w:rsidRDefault="003260D2" w:rsidP="003260D2"/>
    <w:p w:rsidR="003260D2" w:rsidRDefault="003260D2" w:rsidP="003260D2"/>
    <w:p w:rsidR="003260D2" w:rsidRPr="003260D2" w:rsidRDefault="003260D2" w:rsidP="003260D2"/>
    <w:p w:rsidR="003916F1" w:rsidRPr="00C603A9" w:rsidRDefault="003916F1" w:rsidP="00706476">
      <w:pPr>
        <w:pStyle w:val="BodyText"/>
        <w:rPr>
          <w:sz w:val="20"/>
          <w:szCs w:val="20"/>
        </w:rPr>
      </w:pPr>
      <w:r w:rsidRPr="00C603A9">
        <w:rPr>
          <w:sz w:val="20"/>
          <w:szCs w:val="20"/>
        </w:rPr>
        <w:sym w:font="Symbol" w:char="F0E3"/>
      </w:r>
      <w:r w:rsidRPr="00C603A9">
        <w:rPr>
          <w:sz w:val="20"/>
          <w:szCs w:val="20"/>
        </w:rPr>
        <w:t xml:space="preserve"> </w:t>
      </w:r>
      <w:r w:rsidR="00314A4F">
        <w:rPr>
          <w:sz w:val="20"/>
          <w:szCs w:val="20"/>
        </w:rPr>
        <w:t>November</w:t>
      </w:r>
      <w:r w:rsidRPr="00C603A9">
        <w:rPr>
          <w:sz w:val="20"/>
          <w:szCs w:val="20"/>
        </w:rPr>
        <w:t xml:space="preserve">, </w:t>
      </w:r>
      <w:r w:rsidR="00706476">
        <w:rPr>
          <w:sz w:val="20"/>
          <w:szCs w:val="20"/>
        </w:rPr>
        <w:t>2021</w:t>
      </w:r>
    </w:p>
    <w:p w:rsidR="003916F1" w:rsidRPr="00C603A9" w:rsidRDefault="003916F1">
      <w:pPr>
        <w:pStyle w:val="BodyText"/>
        <w:rPr>
          <w:b/>
          <w:bCs/>
          <w:sz w:val="20"/>
          <w:szCs w:val="20"/>
        </w:rPr>
      </w:pPr>
      <w:r w:rsidRPr="00C603A9">
        <w:rPr>
          <w:b/>
          <w:bCs/>
          <w:sz w:val="20"/>
          <w:szCs w:val="20"/>
        </w:rPr>
        <w:t>All rights reserved.</w:t>
      </w:r>
    </w:p>
    <w:p w:rsidR="003916F1" w:rsidRPr="00C603A9" w:rsidRDefault="003916F1">
      <w:pPr>
        <w:pStyle w:val="BodyText"/>
        <w:rPr>
          <w:b/>
          <w:bCs/>
          <w:sz w:val="20"/>
          <w:szCs w:val="20"/>
        </w:rPr>
      </w:pPr>
      <w:r w:rsidRPr="00C603A9">
        <w:rPr>
          <w:b/>
          <w:bCs/>
          <w:sz w:val="20"/>
          <w:szCs w:val="20"/>
        </w:rPr>
        <w:t>Citation:</w:t>
      </w:r>
    </w:p>
    <w:p w:rsidR="003916F1" w:rsidRDefault="003916F1" w:rsidP="00706476">
      <w:pPr>
        <w:pStyle w:val="BodyText"/>
        <w:rPr>
          <w:i/>
          <w:iCs/>
          <w:szCs w:val="24"/>
        </w:rPr>
      </w:pPr>
      <w:r w:rsidRPr="00C603A9">
        <w:rPr>
          <w:b/>
          <w:bCs/>
          <w:szCs w:val="24"/>
        </w:rPr>
        <w:t>Palestinian Ce</w:t>
      </w:r>
      <w:r w:rsidR="00BE4FF5" w:rsidRPr="00C603A9">
        <w:rPr>
          <w:b/>
          <w:bCs/>
          <w:szCs w:val="24"/>
        </w:rPr>
        <w:t xml:space="preserve">ntral Bureau of Statistics, </w:t>
      </w:r>
      <w:r w:rsidR="00706476">
        <w:rPr>
          <w:b/>
          <w:bCs/>
          <w:szCs w:val="24"/>
        </w:rPr>
        <w:t>2021</w:t>
      </w:r>
      <w:r w:rsidRPr="00C603A9">
        <w:rPr>
          <w:b/>
          <w:bCs/>
          <w:szCs w:val="24"/>
        </w:rPr>
        <w:t>.</w:t>
      </w:r>
      <w:r w:rsidRPr="00C603A9">
        <w:rPr>
          <w:szCs w:val="24"/>
        </w:rPr>
        <w:t xml:space="preserve">  </w:t>
      </w:r>
      <w:r w:rsidR="00F003CB">
        <w:rPr>
          <w:i/>
          <w:iCs/>
          <w:szCs w:val="24"/>
        </w:rPr>
        <w:t>Israeli Settlements in the West Bank</w:t>
      </w:r>
      <w:r w:rsidRPr="00C603A9">
        <w:rPr>
          <w:i/>
          <w:iCs/>
          <w:szCs w:val="24"/>
        </w:rPr>
        <w:t>, Annual Statistical Report</w:t>
      </w:r>
      <w:r w:rsidR="00B6398E">
        <w:rPr>
          <w:i/>
          <w:iCs/>
          <w:szCs w:val="24"/>
        </w:rPr>
        <w:t>,</w:t>
      </w:r>
      <w:r w:rsidRPr="00C603A9">
        <w:rPr>
          <w:i/>
          <w:iCs/>
          <w:szCs w:val="24"/>
        </w:rPr>
        <w:t xml:space="preserve"> </w:t>
      </w:r>
      <w:r w:rsidR="00706476">
        <w:rPr>
          <w:rFonts w:cs="Times New Roman"/>
          <w:i/>
          <w:iCs/>
          <w:szCs w:val="24"/>
        </w:rPr>
        <w:t>2020</w:t>
      </w:r>
      <w:r w:rsidRPr="00C603A9">
        <w:rPr>
          <w:i/>
          <w:iCs/>
          <w:szCs w:val="24"/>
        </w:rPr>
        <w:t>.</w:t>
      </w:r>
      <w:r w:rsidRPr="00C603A9">
        <w:rPr>
          <w:i/>
          <w:iCs/>
        </w:rPr>
        <w:t xml:space="preserve"> </w:t>
      </w:r>
      <w:r w:rsidRPr="000A6E15">
        <w:t>Ramallah- Palestine</w:t>
      </w:r>
    </w:p>
    <w:p w:rsidR="00B77DFE" w:rsidRDefault="00B77DFE" w:rsidP="006A3931">
      <w:pPr>
        <w:pStyle w:val="BodyText"/>
        <w:rPr>
          <w:i/>
          <w:iCs/>
          <w:szCs w:val="24"/>
        </w:rPr>
      </w:pPr>
    </w:p>
    <w:p w:rsidR="003260D2" w:rsidRPr="00C603A9" w:rsidRDefault="003260D2" w:rsidP="006A3931">
      <w:pPr>
        <w:pStyle w:val="BodyText"/>
        <w:rPr>
          <w:i/>
          <w:iCs/>
          <w:szCs w:val="24"/>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2363"/>
      </w:tblGrid>
      <w:tr w:rsidR="00C92CF5" w:rsidRPr="007C312E" w:rsidTr="00703123">
        <w:trPr>
          <w:trHeight w:val="2258"/>
          <w:jc w:val="center"/>
        </w:trPr>
        <w:tc>
          <w:tcPr>
            <w:tcW w:w="6709" w:type="dxa"/>
          </w:tcPr>
          <w:p w:rsidR="00C92CF5" w:rsidRPr="007C312E" w:rsidRDefault="00C92CF5" w:rsidP="00703123">
            <w:pPr>
              <w:bidi w:val="0"/>
              <w:rPr>
                <w:color w:val="000000" w:themeColor="text1"/>
              </w:rPr>
            </w:pPr>
            <w:r w:rsidRPr="007C312E">
              <w:rPr>
                <w:color w:val="000000" w:themeColor="text1"/>
              </w:rPr>
              <w:t>All correspondence should</w:t>
            </w:r>
            <w:r w:rsidRPr="007C312E">
              <w:rPr>
                <w:color w:val="000000" w:themeColor="text1"/>
                <w:rtl/>
              </w:rPr>
              <w:t xml:space="preserve"> </w:t>
            </w:r>
            <w:r w:rsidRPr="007C312E">
              <w:rPr>
                <w:color w:val="000000" w:themeColor="text1"/>
              </w:rPr>
              <w:t>be directed to</w:t>
            </w:r>
            <w:r w:rsidRPr="007C312E">
              <w:rPr>
                <w:color w:val="000000" w:themeColor="text1"/>
                <w:rtl/>
              </w:rPr>
              <w:t>:</w:t>
            </w:r>
          </w:p>
          <w:p w:rsidR="00C92CF5" w:rsidRPr="007C312E" w:rsidRDefault="00C92CF5" w:rsidP="00703123">
            <w:pPr>
              <w:bidi w:val="0"/>
              <w:rPr>
                <w:b/>
                <w:bCs/>
                <w:color w:val="000000" w:themeColor="text1"/>
              </w:rPr>
            </w:pPr>
            <w:r w:rsidRPr="007C312E">
              <w:rPr>
                <w:b/>
                <w:bCs/>
                <w:color w:val="000000" w:themeColor="text1"/>
              </w:rPr>
              <w:t>Palestinian Central Bureau of Statistics</w:t>
            </w:r>
          </w:p>
          <w:p w:rsidR="000C3A70" w:rsidRPr="00BF3C97" w:rsidRDefault="000C3A70" w:rsidP="000C3A70">
            <w:pPr>
              <w:bidi w:val="0"/>
              <w:rPr>
                <w:rFonts w:cs="Times New Roman"/>
                <w:b/>
                <w:bCs/>
              </w:rPr>
            </w:pPr>
            <w:r w:rsidRPr="00BF3C97">
              <w:rPr>
                <w:rFonts w:cs="Times New Roman"/>
                <w:b/>
                <w:bCs/>
              </w:rPr>
              <w:t xml:space="preserve">P. O. Box 1647, Ramallah P6028179 – Palestine. </w:t>
            </w:r>
          </w:p>
          <w:p w:rsidR="00C92CF5" w:rsidRPr="007C312E" w:rsidRDefault="00C92CF5" w:rsidP="00703123">
            <w:pPr>
              <w:bidi w:val="0"/>
              <w:rPr>
                <w:color w:val="000000" w:themeColor="text1"/>
                <w:lang w:eastAsia="fr-FR"/>
              </w:rPr>
            </w:pPr>
            <w:r w:rsidRPr="007C312E">
              <w:rPr>
                <w:color w:val="000000" w:themeColor="text1"/>
                <w:lang w:eastAsia="fr-FR"/>
              </w:rPr>
              <w:t xml:space="preserve">Tel: </w:t>
            </w:r>
            <w:r w:rsidRPr="007C312E">
              <w:rPr>
                <w:color w:val="000000" w:themeColor="text1"/>
              </w:rPr>
              <w:t>(970/972) 2 2982700</w:t>
            </w:r>
          </w:p>
          <w:p w:rsidR="00C92CF5" w:rsidRPr="007C312E" w:rsidRDefault="00C92CF5" w:rsidP="00703123">
            <w:pPr>
              <w:bidi w:val="0"/>
              <w:rPr>
                <w:color w:val="000000" w:themeColor="text1"/>
              </w:rPr>
            </w:pPr>
            <w:r w:rsidRPr="007C312E">
              <w:rPr>
                <w:color w:val="000000" w:themeColor="text1"/>
                <w:lang w:eastAsia="fr-FR"/>
              </w:rPr>
              <w:t xml:space="preserve">Fax: </w:t>
            </w:r>
            <w:r w:rsidRPr="007C312E">
              <w:rPr>
                <w:color w:val="000000" w:themeColor="text1"/>
              </w:rPr>
              <w:t>(970/972) 2 2982710</w:t>
            </w:r>
          </w:p>
          <w:p w:rsidR="00C92CF5" w:rsidRPr="007C312E" w:rsidRDefault="00C92CF5" w:rsidP="00703123">
            <w:pPr>
              <w:bidi w:val="0"/>
              <w:rPr>
                <w:color w:val="000000" w:themeColor="text1"/>
                <w:rtl/>
              </w:rPr>
            </w:pPr>
            <w:r w:rsidRPr="007C312E">
              <w:rPr>
                <w:color w:val="000000" w:themeColor="text1"/>
              </w:rPr>
              <w:t>Toll Free:1800300300</w:t>
            </w:r>
          </w:p>
          <w:p w:rsidR="00C92CF5" w:rsidRPr="007C312E" w:rsidRDefault="00C92CF5" w:rsidP="00703123">
            <w:pPr>
              <w:bidi w:val="0"/>
              <w:rPr>
                <w:color w:val="000000" w:themeColor="text1"/>
              </w:rPr>
            </w:pPr>
            <w:r w:rsidRPr="007C312E">
              <w:rPr>
                <w:color w:val="000000" w:themeColor="text1"/>
                <w:lang w:eastAsia="fr-FR"/>
              </w:rPr>
              <w:t>E-Mail</w:t>
            </w:r>
            <w:r w:rsidRPr="007C312E">
              <w:rPr>
                <w:color w:val="000000" w:themeColor="text1"/>
                <w:rtl/>
              </w:rPr>
              <w:t xml:space="preserve">: </w:t>
            </w:r>
            <w:r w:rsidRPr="007C312E">
              <w:rPr>
                <w:color w:val="000000" w:themeColor="text1"/>
                <w:lang w:eastAsia="fr-FR"/>
              </w:rPr>
              <w:t>diwan@pcbs.gov.ps</w:t>
            </w:r>
          </w:p>
          <w:p w:rsidR="00C92CF5" w:rsidRPr="00703123" w:rsidRDefault="00C92CF5" w:rsidP="00703123">
            <w:pPr>
              <w:pStyle w:val="BlockText"/>
              <w:bidi w:val="0"/>
              <w:ind w:left="0" w:right="0"/>
              <w:jc w:val="left"/>
              <w:rPr>
                <w:b w:val="0"/>
                <w:bCs w:val="0"/>
                <w:color w:val="000000" w:themeColor="text1"/>
                <w:sz w:val="20"/>
                <w:rtl/>
              </w:rPr>
            </w:pPr>
            <w:r w:rsidRPr="007C312E">
              <w:rPr>
                <w:color w:val="000000" w:themeColor="text1"/>
                <w:sz w:val="20"/>
              </w:rPr>
              <w:t xml:space="preserve">Website:  http://www.pcbs.gov.ps </w:t>
            </w:r>
            <w:r w:rsidRPr="007C312E">
              <w:rPr>
                <w:rFonts w:hint="cs"/>
                <w:color w:val="000000" w:themeColor="text1"/>
                <w:sz w:val="20"/>
                <w:rtl/>
              </w:rPr>
              <w:t xml:space="preserve">   </w:t>
            </w:r>
          </w:p>
          <w:p w:rsidR="00C92CF5" w:rsidRPr="001A54E0" w:rsidRDefault="00C92CF5" w:rsidP="00703123">
            <w:pPr>
              <w:tabs>
                <w:tab w:val="left" w:pos="952"/>
              </w:tabs>
              <w:bidi w:val="0"/>
              <w:rPr>
                <w:lang w:eastAsia="ar-SA"/>
              </w:rPr>
            </w:pPr>
          </w:p>
        </w:tc>
        <w:tc>
          <w:tcPr>
            <w:tcW w:w="2363" w:type="dxa"/>
          </w:tcPr>
          <w:p w:rsidR="00703123" w:rsidRPr="00703123" w:rsidRDefault="00703123" w:rsidP="00703123">
            <w:pPr>
              <w:pStyle w:val="BlockText"/>
              <w:bidi w:val="0"/>
              <w:ind w:left="0" w:right="0"/>
              <w:jc w:val="left"/>
              <w:rPr>
                <w:color w:val="000000" w:themeColor="text1"/>
                <w:sz w:val="6"/>
                <w:szCs w:val="10"/>
              </w:rPr>
            </w:pPr>
          </w:p>
          <w:p w:rsidR="003260D2" w:rsidRDefault="003260D2" w:rsidP="00072AB3">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703123" w:rsidRPr="0035222C" w:rsidRDefault="00703123" w:rsidP="007325EE">
            <w:pPr>
              <w:pStyle w:val="BlockText"/>
              <w:bidi w:val="0"/>
              <w:ind w:left="0" w:right="0"/>
              <w:jc w:val="center"/>
              <w:rPr>
                <w:b w:val="0"/>
                <w:bCs w:val="0"/>
                <w:color w:val="000000" w:themeColor="text1"/>
                <w:sz w:val="20"/>
                <w:rtl/>
              </w:rPr>
            </w:pPr>
            <w:r w:rsidRPr="0035222C">
              <w:rPr>
                <w:color w:val="000000" w:themeColor="text1"/>
                <w:sz w:val="20"/>
              </w:rPr>
              <w:t xml:space="preserve">Reference ID: </w:t>
            </w:r>
            <w:r w:rsidR="007325EE">
              <w:rPr>
                <w:color w:val="000000" w:themeColor="text1"/>
                <w:sz w:val="20"/>
              </w:rPr>
              <w:t>2588</w:t>
            </w:r>
          </w:p>
          <w:p w:rsidR="00C92CF5" w:rsidRPr="007C312E" w:rsidRDefault="00C92CF5" w:rsidP="00703123">
            <w:pPr>
              <w:jc w:val="center"/>
              <w:rPr>
                <w:color w:val="000000" w:themeColor="text1"/>
                <w:rtl/>
              </w:rPr>
            </w:pPr>
          </w:p>
        </w:tc>
      </w:tr>
    </w:tbl>
    <w:p w:rsidR="003916F1" w:rsidRPr="00C603A9" w:rsidRDefault="003916F1">
      <w:pPr>
        <w:jc w:val="center"/>
        <w:rPr>
          <w:b/>
          <w:bCs/>
          <w:sz w:val="28"/>
          <w:szCs w:val="28"/>
        </w:rPr>
      </w:pPr>
      <w:r w:rsidRPr="00C603A9">
        <w:rPr>
          <w:b/>
          <w:bCs/>
          <w:sz w:val="28"/>
          <w:szCs w:val="28"/>
        </w:rPr>
        <w:t>Acknowledgments</w:t>
      </w:r>
    </w:p>
    <w:p w:rsidR="003916F1" w:rsidRPr="000B7819" w:rsidRDefault="003916F1">
      <w:pPr>
        <w:tabs>
          <w:tab w:val="left" w:pos="4395"/>
        </w:tabs>
        <w:ind w:left="993" w:right="1133"/>
        <w:jc w:val="center"/>
        <w:rPr>
          <w:sz w:val="28"/>
          <w:szCs w:val="28"/>
        </w:rPr>
      </w:pPr>
    </w:p>
    <w:p w:rsidR="00B11FFB" w:rsidRPr="00C603A9" w:rsidRDefault="00B11FFB" w:rsidP="000E3502">
      <w:pPr>
        <w:jc w:val="lowKashida"/>
        <w:rPr>
          <w:b/>
          <w:bCs/>
          <w:sz w:val="24"/>
          <w:szCs w:val="24"/>
        </w:rPr>
      </w:pPr>
      <w:r w:rsidRPr="00C603A9">
        <w:rPr>
          <w:b/>
          <w:bCs/>
          <w:sz w:val="24"/>
          <w:szCs w:val="24"/>
        </w:rPr>
        <w:t xml:space="preserve">The Palestinian Central Bureau of Statistics (PCBS) extends its deep appreciations to all </w:t>
      </w:r>
      <w:r w:rsidR="000E3502" w:rsidRPr="000E3502">
        <w:rPr>
          <w:b/>
          <w:bCs/>
          <w:sz w:val="24"/>
          <w:szCs w:val="24"/>
        </w:rPr>
        <w:t xml:space="preserve">Palestinian </w:t>
      </w:r>
      <w:r w:rsidR="000E3502">
        <w:rPr>
          <w:b/>
          <w:bCs/>
          <w:sz w:val="24"/>
          <w:szCs w:val="24"/>
        </w:rPr>
        <w:t>I</w:t>
      </w:r>
      <w:r w:rsidR="000E3502" w:rsidRPr="000E3502">
        <w:rPr>
          <w:b/>
          <w:bCs/>
          <w:sz w:val="24"/>
          <w:szCs w:val="24"/>
        </w:rPr>
        <w:t xml:space="preserve">nstitutions </w:t>
      </w:r>
      <w:r w:rsidRPr="00C603A9">
        <w:rPr>
          <w:b/>
          <w:bCs/>
          <w:sz w:val="24"/>
          <w:szCs w:val="24"/>
        </w:rPr>
        <w:t>in the preparation of this report.</w:t>
      </w:r>
    </w:p>
    <w:p w:rsidR="008B113C" w:rsidRPr="00C603A9" w:rsidRDefault="008B113C" w:rsidP="008B113C">
      <w:pPr>
        <w:jc w:val="lowKashida"/>
        <w:rPr>
          <w:b/>
          <w:bCs/>
          <w:sz w:val="24"/>
          <w:szCs w:val="24"/>
        </w:rPr>
      </w:pPr>
    </w:p>
    <w:p w:rsidR="006471DC" w:rsidRDefault="008B113C" w:rsidP="00706476">
      <w:pPr>
        <w:jc w:val="lowKashida"/>
        <w:rPr>
          <w:b/>
          <w:bCs/>
          <w:sz w:val="24"/>
          <w:szCs w:val="24"/>
        </w:rPr>
      </w:pPr>
      <w:r w:rsidRPr="00C603A9">
        <w:rPr>
          <w:b/>
          <w:bCs/>
          <w:sz w:val="24"/>
          <w:szCs w:val="24"/>
        </w:rPr>
        <w:t xml:space="preserve">The </w:t>
      </w:r>
      <w:r w:rsidR="000E3502" w:rsidRPr="000E3502">
        <w:rPr>
          <w:b/>
          <w:bCs/>
          <w:sz w:val="24"/>
          <w:szCs w:val="24"/>
        </w:rPr>
        <w:t xml:space="preserve">Report </w:t>
      </w:r>
      <w:r w:rsidR="000E3502">
        <w:rPr>
          <w:b/>
          <w:bCs/>
          <w:sz w:val="24"/>
          <w:szCs w:val="24"/>
        </w:rPr>
        <w:t xml:space="preserve">of the </w:t>
      </w:r>
      <w:r w:rsidR="00F003CB">
        <w:rPr>
          <w:b/>
          <w:bCs/>
          <w:sz w:val="24"/>
          <w:szCs w:val="24"/>
        </w:rPr>
        <w:t>Israeli Settlements in the West Bank</w:t>
      </w:r>
      <w:r w:rsidR="00B6398E">
        <w:rPr>
          <w:b/>
          <w:bCs/>
          <w:sz w:val="24"/>
          <w:szCs w:val="24"/>
        </w:rPr>
        <w:t xml:space="preserve">, </w:t>
      </w:r>
      <w:r w:rsidR="00706476">
        <w:rPr>
          <w:b/>
          <w:bCs/>
          <w:sz w:val="24"/>
          <w:szCs w:val="24"/>
        </w:rPr>
        <w:t>2020</w:t>
      </w:r>
      <w:r w:rsidRPr="00C603A9">
        <w:rPr>
          <w:b/>
          <w:bCs/>
          <w:sz w:val="24"/>
          <w:szCs w:val="24"/>
        </w:rPr>
        <w:t xml:space="preserve"> </w:t>
      </w:r>
      <w:r w:rsidR="000E3502">
        <w:rPr>
          <w:b/>
          <w:bCs/>
          <w:sz w:val="24"/>
          <w:szCs w:val="24"/>
        </w:rPr>
        <w:t xml:space="preserve">was prepared </w:t>
      </w:r>
      <w:r w:rsidR="006471DC">
        <w:rPr>
          <w:b/>
          <w:bCs/>
          <w:sz w:val="24"/>
          <w:szCs w:val="24"/>
        </w:rPr>
        <w:t xml:space="preserve">by a technical team from PCBS with </w:t>
      </w:r>
      <w:r w:rsidR="00413583">
        <w:rPr>
          <w:b/>
          <w:bCs/>
          <w:sz w:val="24"/>
          <w:szCs w:val="24"/>
        </w:rPr>
        <w:t xml:space="preserve">a </w:t>
      </w:r>
      <w:r w:rsidR="006471DC">
        <w:rPr>
          <w:b/>
          <w:bCs/>
          <w:sz w:val="24"/>
          <w:szCs w:val="24"/>
        </w:rPr>
        <w:t xml:space="preserve">joint funding from State of Palestine and the Core Funding Group (CFG) for </w:t>
      </w:r>
      <w:r w:rsidR="00706476">
        <w:rPr>
          <w:b/>
          <w:bCs/>
          <w:sz w:val="24"/>
          <w:szCs w:val="24"/>
        </w:rPr>
        <w:t>2021</w:t>
      </w:r>
      <w:r w:rsidR="006471DC">
        <w:rPr>
          <w:b/>
          <w:bCs/>
          <w:sz w:val="24"/>
          <w:szCs w:val="24"/>
        </w:rPr>
        <w:t xml:space="preserve">, represented by the Representative Office of Norway to Palestine. </w:t>
      </w:r>
    </w:p>
    <w:p w:rsidR="006471DC" w:rsidRDefault="006471DC" w:rsidP="006471DC">
      <w:pPr>
        <w:jc w:val="lowKashida"/>
        <w:rPr>
          <w:b/>
          <w:bCs/>
          <w:sz w:val="24"/>
          <w:szCs w:val="24"/>
        </w:rPr>
      </w:pPr>
    </w:p>
    <w:p w:rsidR="00D2378A" w:rsidRPr="006471DC" w:rsidRDefault="006471DC" w:rsidP="0039734F">
      <w:pPr>
        <w:jc w:val="lowKashida"/>
        <w:rPr>
          <w:b/>
          <w:bCs/>
          <w:sz w:val="24"/>
          <w:szCs w:val="24"/>
        </w:rPr>
      </w:pPr>
      <w:r w:rsidRPr="00C954BB">
        <w:rPr>
          <w:b/>
          <w:bCs/>
          <w:color w:val="000000" w:themeColor="text1"/>
          <w:sz w:val="24"/>
          <w:szCs w:val="24"/>
        </w:rPr>
        <w:t xml:space="preserve">Moreover, PCBS very much appreciates the distinctive efforts of the Core Funding Group (CFG) for their valuable contribution </w:t>
      </w:r>
      <w:r>
        <w:rPr>
          <w:b/>
          <w:bCs/>
          <w:color w:val="000000" w:themeColor="text1"/>
          <w:sz w:val="24"/>
          <w:szCs w:val="24"/>
        </w:rPr>
        <w:t>to</w:t>
      </w:r>
      <w:r w:rsidRPr="00C954BB">
        <w:rPr>
          <w:b/>
          <w:bCs/>
          <w:color w:val="000000" w:themeColor="text1"/>
          <w:sz w:val="24"/>
          <w:szCs w:val="24"/>
        </w:rPr>
        <w:t xml:space="preserve"> </w:t>
      </w:r>
      <w:r w:rsidR="0039734F">
        <w:rPr>
          <w:b/>
          <w:bCs/>
          <w:sz w:val="24"/>
          <w:szCs w:val="24"/>
        </w:rPr>
        <w:t>prepare</w:t>
      </w:r>
      <w:r w:rsidR="0039734F" w:rsidRPr="00C603A9">
        <w:rPr>
          <w:b/>
          <w:bCs/>
          <w:sz w:val="24"/>
          <w:szCs w:val="24"/>
        </w:rPr>
        <w:t xml:space="preserve"> </w:t>
      </w:r>
      <w:r w:rsidRPr="00C954BB">
        <w:rPr>
          <w:b/>
          <w:bCs/>
          <w:color w:val="000000" w:themeColor="text1"/>
          <w:sz w:val="24"/>
          <w:szCs w:val="24"/>
        </w:rPr>
        <w:t xml:space="preserve">this </w:t>
      </w:r>
      <w:r w:rsidR="0039734F" w:rsidRPr="00C603A9">
        <w:rPr>
          <w:b/>
          <w:bCs/>
          <w:sz w:val="24"/>
          <w:szCs w:val="24"/>
        </w:rPr>
        <w:t>report</w:t>
      </w:r>
      <w:r w:rsidRPr="00C954BB">
        <w:rPr>
          <w:b/>
          <w:bCs/>
          <w:color w:val="000000" w:themeColor="text1"/>
          <w:sz w:val="24"/>
          <w:szCs w:val="24"/>
        </w:rPr>
        <w:t>.</w:t>
      </w:r>
    </w:p>
    <w:p w:rsidR="00B11FFB" w:rsidRPr="00C603A9" w:rsidRDefault="00B11FFB" w:rsidP="00D2378A">
      <w:pPr>
        <w:jc w:val="lowKashida"/>
        <w:rPr>
          <w:b/>
          <w:bCs/>
          <w:sz w:val="24"/>
          <w:szCs w:val="24"/>
          <w:lang w:val="en-AU"/>
        </w:rPr>
      </w:pPr>
    </w:p>
    <w:p w:rsidR="00B11FFB" w:rsidRPr="00C603A9" w:rsidRDefault="00B11FFB" w:rsidP="00B11FFB">
      <w:pPr>
        <w:autoSpaceDE w:val="0"/>
        <w:autoSpaceDN w:val="0"/>
        <w:adjustRightInd w:val="0"/>
        <w:jc w:val="both"/>
        <w:rPr>
          <w:b/>
          <w:bCs/>
          <w:sz w:val="24"/>
          <w:szCs w:val="24"/>
        </w:rPr>
      </w:pPr>
    </w:p>
    <w:p w:rsidR="00B11FFB" w:rsidRPr="00C603A9" w:rsidRDefault="00B11FFB" w:rsidP="001E5B82">
      <w:pPr>
        <w:jc w:val="lowKashida"/>
        <w:rPr>
          <w:b/>
          <w:bCs/>
          <w:sz w:val="24"/>
          <w:szCs w:val="24"/>
        </w:rPr>
      </w:pPr>
    </w:p>
    <w:p w:rsidR="005A67C0" w:rsidRPr="00C603A9" w:rsidRDefault="005A67C0" w:rsidP="008B113C">
      <w:pPr>
        <w:jc w:val="lowKashida"/>
        <w:rPr>
          <w:b/>
          <w:bCs/>
          <w:sz w:val="24"/>
          <w:szCs w:val="24"/>
        </w:rPr>
      </w:pPr>
    </w:p>
    <w:p w:rsidR="005A67C0" w:rsidRPr="00C603A9" w:rsidRDefault="005A67C0" w:rsidP="008B113C">
      <w:pPr>
        <w:jc w:val="lowKashida"/>
        <w:rPr>
          <w:b/>
          <w:bCs/>
          <w:sz w:val="24"/>
          <w:szCs w:val="24"/>
          <w:rtl/>
        </w:rPr>
      </w:pPr>
    </w:p>
    <w:p w:rsidR="000658F1" w:rsidRPr="00C603A9" w:rsidRDefault="003916F1">
      <w:pPr>
        <w:pStyle w:val="H1"/>
        <w:jc w:val="center"/>
        <w:rPr>
          <w:rFonts w:cs="Traditional Arabic"/>
          <w:sz w:val="28"/>
          <w:szCs w:val="28"/>
        </w:rPr>
      </w:pPr>
      <w:r w:rsidRPr="00C603A9">
        <w:rPr>
          <w:rFonts w:cs="Traditional Arabic"/>
          <w:sz w:val="28"/>
          <w:szCs w:val="28"/>
        </w:rPr>
        <w:br w:type="page"/>
      </w:r>
    </w:p>
    <w:p w:rsidR="00A143C2" w:rsidRDefault="00A143C2">
      <w:pPr>
        <w:rPr>
          <w:rFonts w:cs="Simplified Arabic"/>
          <w:b/>
          <w:bCs/>
          <w:sz w:val="28"/>
          <w:szCs w:val="28"/>
        </w:rPr>
      </w:pPr>
      <w:r>
        <w:rPr>
          <w:rFonts w:cs="Simplified Arabic"/>
          <w:b/>
          <w:bCs/>
          <w:sz w:val="28"/>
          <w:szCs w:val="28"/>
        </w:rPr>
        <w:br w:type="page"/>
      </w:r>
    </w:p>
    <w:p w:rsidR="000658F1" w:rsidRPr="00C603A9" w:rsidRDefault="000658F1" w:rsidP="000658F1">
      <w:pPr>
        <w:jc w:val="center"/>
        <w:rPr>
          <w:rFonts w:cs="Simplified Arabic"/>
          <w:b/>
          <w:bCs/>
          <w:sz w:val="28"/>
          <w:szCs w:val="28"/>
        </w:rPr>
      </w:pPr>
      <w:r w:rsidRPr="00C603A9">
        <w:rPr>
          <w:rFonts w:cs="Simplified Arabic"/>
          <w:b/>
          <w:bCs/>
          <w:sz w:val="28"/>
          <w:szCs w:val="28"/>
        </w:rPr>
        <w:t>Project Team</w:t>
      </w:r>
    </w:p>
    <w:p w:rsidR="000658F1" w:rsidRPr="00C603A9" w:rsidRDefault="000658F1" w:rsidP="000658F1">
      <w:pPr>
        <w:jc w:val="center"/>
        <w:rPr>
          <w:rFonts w:cs="Simplified Arabic"/>
          <w:b/>
          <w:bCs/>
          <w:sz w:val="24"/>
          <w:szCs w:val="24"/>
          <w:rtl/>
          <w:lang w:val="en-GB"/>
        </w:rPr>
      </w:pPr>
    </w:p>
    <w:p w:rsidR="000658F1" w:rsidRPr="00C603A9" w:rsidRDefault="000658F1" w:rsidP="003916F1">
      <w:pPr>
        <w:numPr>
          <w:ilvl w:val="0"/>
          <w:numId w:val="1"/>
        </w:numPr>
        <w:ind w:right="1260"/>
        <w:rPr>
          <w:rFonts w:cs="Simplified Arabic"/>
          <w:sz w:val="24"/>
          <w:szCs w:val="24"/>
          <w:rtl/>
          <w:lang w:val="en-GB"/>
        </w:rPr>
      </w:pPr>
      <w:r w:rsidRPr="00C603A9">
        <w:rPr>
          <w:b/>
          <w:bCs/>
          <w:sz w:val="24"/>
          <w:szCs w:val="24"/>
        </w:rPr>
        <w:t>Report Preparation</w:t>
      </w:r>
      <w:r w:rsidRPr="00C603A9">
        <w:rPr>
          <w:rFonts w:cs="Simplified Arabic"/>
          <w:sz w:val="24"/>
          <w:szCs w:val="24"/>
          <w:rtl/>
          <w:lang w:val="en-GB"/>
        </w:rPr>
        <w:tab/>
      </w:r>
    </w:p>
    <w:p w:rsidR="000658F1" w:rsidRPr="00C603A9" w:rsidRDefault="000658F1" w:rsidP="000658F1">
      <w:pPr>
        <w:ind w:left="709"/>
        <w:rPr>
          <w:rFonts w:cs="Simplified Arabic"/>
          <w:sz w:val="24"/>
          <w:szCs w:val="24"/>
          <w:rtl/>
          <w:lang w:val="en-GB"/>
        </w:rPr>
      </w:pPr>
      <w:r w:rsidRPr="00C603A9">
        <w:rPr>
          <w:sz w:val="24"/>
          <w:szCs w:val="24"/>
        </w:rPr>
        <w:t>Mohammed Al-Masri</w:t>
      </w:r>
      <w:r w:rsidRPr="00C603A9">
        <w:rPr>
          <w:rFonts w:cs="Simplified Arabic"/>
          <w:sz w:val="24"/>
          <w:szCs w:val="24"/>
          <w:rtl/>
          <w:lang w:val="en-GB"/>
        </w:rPr>
        <w:tab/>
      </w:r>
    </w:p>
    <w:p w:rsidR="00AF0D01" w:rsidRPr="00C603A9" w:rsidRDefault="00AF0D01" w:rsidP="000658F1">
      <w:pPr>
        <w:ind w:firstLine="720"/>
        <w:rPr>
          <w:rFonts w:cs="Simplified Arabic"/>
          <w:sz w:val="24"/>
          <w:szCs w:val="24"/>
        </w:rPr>
      </w:pPr>
    </w:p>
    <w:p w:rsidR="000658F1" w:rsidRPr="00595E20" w:rsidRDefault="000658F1" w:rsidP="003916F1">
      <w:pPr>
        <w:numPr>
          <w:ilvl w:val="0"/>
          <w:numId w:val="1"/>
        </w:numPr>
        <w:ind w:right="1260"/>
        <w:rPr>
          <w:rFonts w:cs="Times New Roman"/>
          <w:b/>
          <w:bCs/>
          <w:sz w:val="24"/>
          <w:szCs w:val="24"/>
        </w:rPr>
      </w:pPr>
      <w:r w:rsidRPr="00595E20">
        <w:rPr>
          <w:rFonts w:cs="Times New Roman"/>
          <w:b/>
          <w:bCs/>
          <w:sz w:val="24"/>
          <w:szCs w:val="24"/>
        </w:rPr>
        <w:t xml:space="preserve">Maps </w:t>
      </w:r>
      <w:r w:rsidRPr="00595E20">
        <w:rPr>
          <w:rFonts w:cs="Simplified Arabic"/>
          <w:b/>
          <w:bCs/>
          <w:sz w:val="24"/>
          <w:szCs w:val="24"/>
        </w:rPr>
        <w:t>Design</w:t>
      </w:r>
    </w:p>
    <w:p w:rsidR="005014BC" w:rsidRDefault="00E848DC" w:rsidP="00B04CDC">
      <w:pPr>
        <w:ind w:left="709"/>
        <w:rPr>
          <w:sz w:val="24"/>
          <w:szCs w:val="24"/>
        </w:rPr>
      </w:pPr>
      <w:r w:rsidRPr="00CC226E">
        <w:rPr>
          <w:sz w:val="24"/>
          <w:szCs w:val="24"/>
        </w:rPr>
        <w:t>Imtethal Shuaibi</w:t>
      </w:r>
      <w:r w:rsidR="00595E20" w:rsidRPr="00B04CDC">
        <w:rPr>
          <w:sz w:val="24"/>
          <w:szCs w:val="24"/>
        </w:rPr>
        <w:tab/>
      </w:r>
    </w:p>
    <w:p w:rsidR="00B04CDC" w:rsidRPr="00B04CDC" w:rsidRDefault="00B04CDC" w:rsidP="00B04CDC">
      <w:pPr>
        <w:ind w:left="709"/>
        <w:rPr>
          <w:sz w:val="24"/>
          <w:szCs w:val="24"/>
        </w:rPr>
      </w:pPr>
    </w:p>
    <w:p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Dissemination Standard</w:t>
      </w:r>
    </w:p>
    <w:p w:rsidR="000658F1" w:rsidRPr="00C603A9" w:rsidRDefault="000658F1" w:rsidP="000658F1">
      <w:pPr>
        <w:ind w:left="709"/>
        <w:rPr>
          <w:sz w:val="24"/>
          <w:szCs w:val="24"/>
        </w:rPr>
      </w:pPr>
      <w:r w:rsidRPr="00C603A9">
        <w:rPr>
          <w:sz w:val="24"/>
          <w:szCs w:val="24"/>
        </w:rPr>
        <w:t>Hanan Janajreh</w:t>
      </w:r>
    </w:p>
    <w:p w:rsidR="000658F1" w:rsidRPr="00C603A9" w:rsidRDefault="000658F1" w:rsidP="000658F1">
      <w:pPr>
        <w:ind w:left="709"/>
        <w:rPr>
          <w:rFonts w:cs="Simplified Arabic"/>
          <w:sz w:val="24"/>
          <w:szCs w:val="24"/>
          <w:lang w:val="en-GB"/>
        </w:rPr>
      </w:pPr>
    </w:p>
    <w:p w:rsidR="000658F1" w:rsidRPr="00C603A9" w:rsidRDefault="000658F1" w:rsidP="003916F1">
      <w:pPr>
        <w:numPr>
          <w:ilvl w:val="0"/>
          <w:numId w:val="1"/>
        </w:numPr>
        <w:ind w:right="1260"/>
        <w:rPr>
          <w:rFonts w:cs="Simplified Arabic"/>
          <w:sz w:val="24"/>
          <w:szCs w:val="24"/>
          <w:rtl/>
          <w:lang w:val="en-GB"/>
        </w:rPr>
      </w:pPr>
      <w:r w:rsidRPr="00C603A9">
        <w:rPr>
          <w:rFonts w:cs="Simplified Arabic"/>
          <w:b/>
          <w:bCs/>
          <w:sz w:val="24"/>
          <w:szCs w:val="24"/>
        </w:rPr>
        <w:t>Preliminary</w:t>
      </w:r>
      <w:r w:rsidRPr="00C603A9">
        <w:rPr>
          <w:b/>
          <w:bCs/>
          <w:sz w:val="24"/>
          <w:szCs w:val="24"/>
        </w:rPr>
        <w:t xml:space="preserve"> Review</w:t>
      </w:r>
      <w:r w:rsidRPr="00C603A9">
        <w:rPr>
          <w:rFonts w:cs="Simplified Arabic"/>
          <w:sz w:val="24"/>
          <w:szCs w:val="24"/>
          <w:rtl/>
          <w:lang w:val="en-GB"/>
        </w:rPr>
        <w:tab/>
      </w:r>
    </w:p>
    <w:p w:rsidR="004D77F6" w:rsidRPr="004D77F6" w:rsidRDefault="00B04CDC" w:rsidP="004D77F6">
      <w:pPr>
        <w:ind w:left="709"/>
        <w:rPr>
          <w:sz w:val="24"/>
          <w:szCs w:val="24"/>
        </w:rPr>
      </w:pPr>
      <w:r w:rsidRPr="00B04CDC">
        <w:rPr>
          <w:sz w:val="24"/>
          <w:szCs w:val="24"/>
        </w:rPr>
        <w:t>Abdullah  Azzam</w:t>
      </w:r>
    </w:p>
    <w:p w:rsidR="00AD6A27" w:rsidRDefault="00AD6A27" w:rsidP="00AD6A27">
      <w:pPr>
        <w:ind w:left="709"/>
        <w:rPr>
          <w:sz w:val="24"/>
          <w:szCs w:val="24"/>
        </w:rPr>
      </w:pPr>
      <w:r w:rsidRPr="00AD6A27">
        <w:rPr>
          <w:sz w:val="24"/>
          <w:szCs w:val="24"/>
        </w:rPr>
        <w:t>M</w:t>
      </w:r>
      <w:r>
        <w:rPr>
          <w:sz w:val="24"/>
          <w:szCs w:val="24"/>
        </w:rPr>
        <w:t>ahmoud</w:t>
      </w:r>
      <w:r w:rsidRPr="00AD6A27">
        <w:rPr>
          <w:sz w:val="24"/>
          <w:szCs w:val="24"/>
        </w:rPr>
        <w:t xml:space="preserve"> A</w:t>
      </w:r>
      <w:r>
        <w:rPr>
          <w:sz w:val="24"/>
          <w:szCs w:val="24"/>
        </w:rPr>
        <w:t>bd</w:t>
      </w:r>
      <w:r w:rsidRPr="00AD6A27">
        <w:rPr>
          <w:sz w:val="24"/>
          <w:szCs w:val="24"/>
        </w:rPr>
        <w:t>-A</w:t>
      </w:r>
      <w:r>
        <w:rPr>
          <w:sz w:val="24"/>
          <w:szCs w:val="24"/>
        </w:rPr>
        <w:t>lrahman</w:t>
      </w:r>
    </w:p>
    <w:p w:rsidR="00782458" w:rsidRPr="004B3890" w:rsidRDefault="00782458" w:rsidP="000658F1">
      <w:pPr>
        <w:ind w:left="709"/>
        <w:rPr>
          <w:rFonts w:cs="Simplified Arabic"/>
          <w:sz w:val="22"/>
          <w:szCs w:val="22"/>
          <w:rtl/>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Final Review</w:t>
      </w:r>
    </w:p>
    <w:p w:rsidR="00551CFA" w:rsidRPr="00551CFA" w:rsidRDefault="00551CFA" w:rsidP="00551CFA">
      <w:pPr>
        <w:ind w:left="709"/>
        <w:rPr>
          <w:sz w:val="24"/>
          <w:szCs w:val="24"/>
        </w:rPr>
      </w:pPr>
      <w:r w:rsidRPr="00551CFA">
        <w:rPr>
          <w:sz w:val="24"/>
          <w:szCs w:val="24"/>
        </w:rPr>
        <w:t xml:space="preserve">Khalid Abu-Khalid </w:t>
      </w:r>
    </w:p>
    <w:p w:rsidR="00551CFA" w:rsidRPr="00551CFA" w:rsidRDefault="00551CFA" w:rsidP="00551CFA">
      <w:pPr>
        <w:ind w:left="709"/>
        <w:rPr>
          <w:sz w:val="24"/>
          <w:szCs w:val="24"/>
        </w:rPr>
      </w:pPr>
      <w:r w:rsidRPr="00551CFA">
        <w:rPr>
          <w:sz w:val="24"/>
          <w:szCs w:val="24"/>
        </w:rPr>
        <w:t>Inaya Zidan</w:t>
      </w:r>
    </w:p>
    <w:p w:rsidR="00AD6A27" w:rsidRDefault="00AD6A27" w:rsidP="00AD6A27">
      <w:pPr>
        <w:ind w:left="709"/>
        <w:rPr>
          <w:rFonts w:cs="Simplified Arabic"/>
          <w:sz w:val="24"/>
          <w:szCs w:val="24"/>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Overall Supervision</w:t>
      </w:r>
    </w:p>
    <w:p w:rsidR="000658F1" w:rsidRPr="00551CFA" w:rsidRDefault="00551CFA" w:rsidP="000658F1">
      <w:pPr>
        <w:ind w:left="709"/>
        <w:rPr>
          <w:sz w:val="24"/>
          <w:szCs w:val="24"/>
        </w:rPr>
      </w:pPr>
      <w:r w:rsidRPr="00551CFA">
        <w:rPr>
          <w:rFonts w:cs="Times New Roman"/>
          <w:sz w:val="24"/>
          <w:szCs w:val="24"/>
          <w:lang w:val="en-GB"/>
        </w:rPr>
        <w:t xml:space="preserve">Dr. Ola </w:t>
      </w:r>
      <w:r w:rsidR="000658F1" w:rsidRPr="00551CFA">
        <w:rPr>
          <w:sz w:val="24"/>
          <w:szCs w:val="24"/>
        </w:rPr>
        <w:t xml:space="preserve">Awad                         </w:t>
      </w:r>
      <w:r w:rsidR="000658F1" w:rsidRPr="00551CFA">
        <w:rPr>
          <w:sz w:val="24"/>
          <w:szCs w:val="24"/>
        </w:rPr>
        <w:tab/>
        <w:t xml:space="preserve">          President</w:t>
      </w:r>
      <w:r w:rsidR="005E1E3C" w:rsidRPr="00551CFA">
        <w:rPr>
          <w:sz w:val="24"/>
          <w:szCs w:val="24"/>
        </w:rPr>
        <w:t xml:space="preserve"> of PCBS</w:t>
      </w:r>
    </w:p>
    <w:p w:rsidR="000658F1" w:rsidRPr="00C603A9" w:rsidRDefault="000658F1" w:rsidP="000658F1">
      <w:pPr>
        <w:pStyle w:val="H1"/>
        <w:jc w:val="center"/>
        <w:rPr>
          <w:rFonts w:cs="Traditional Arabic"/>
          <w:sz w:val="28"/>
          <w:szCs w:val="28"/>
        </w:rPr>
      </w:pPr>
      <w:r w:rsidRPr="00C603A9">
        <w:rPr>
          <w:b w:val="0"/>
          <w:bCs w:val="0"/>
          <w:szCs w:val="24"/>
        </w:rPr>
        <w:br w:type="page"/>
      </w:r>
    </w:p>
    <w:p w:rsidR="000658F1" w:rsidRPr="00C603A9" w:rsidRDefault="000658F1">
      <w:pPr>
        <w:pStyle w:val="H1"/>
        <w:jc w:val="center"/>
        <w:rPr>
          <w:rFonts w:cs="Traditional Arabic"/>
          <w:sz w:val="28"/>
          <w:szCs w:val="28"/>
        </w:rPr>
      </w:pPr>
    </w:p>
    <w:p w:rsidR="000658F1" w:rsidRPr="00C603A9" w:rsidRDefault="000658F1">
      <w:pPr>
        <w:pStyle w:val="H1"/>
        <w:jc w:val="center"/>
        <w:rPr>
          <w:rFonts w:cs="Traditional Arabic"/>
          <w:sz w:val="28"/>
          <w:szCs w:val="28"/>
        </w:rPr>
      </w:pPr>
    </w:p>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695FB3" w:rsidRPr="00C603A9" w:rsidRDefault="00695FB3">
      <w:pPr>
        <w:rPr>
          <w:b/>
          <w:bCs/>
          <w:kern w:val="36"/>
          <w:sz w:val="28"/>
          <w:szCs w:val="28"/>
        </w:rPr>
      </w:pPr>
      <w:r w:rsidRPr="00C603A9">
        <w:rPr>
          <w:sz w:val="28"/>
          <w:szCs w:val="28"/>
        </w:rPr>
        <w:br w:type="page"/>
      </w:r>
    </w:p>
    <w:p w:rsidR="003916F1" w:rsidRPr="00C603A9" w:rsidRDefault="003916F1">
      <w:pPr>
        <w:pStyle w:val="H1"/>
        <w:jc w:val="center"/>
        <w:rPr>
          <w:rFonts w:cs="Traditional Arabic"/>
          <w:sz w:val="28"/>
          <w:szCs w:val="28"/>
        </w:rPr>
      </w:pPr>
      <w:r w:rsidRPr="00C603A9">
        <w:rPr>
          <w:rFonts w:cs="Traditional Arabic"/>
          <w:sz w:val="28"/>
          <w:szCs w:val="28"/>
        </w:rPr>
        <w:t>Important Remarks</w:t>
      </w:r>
    </w:p>
    <w:p w:rsidR="003916F1" w:rsidRPr="00C603A9" w:rsidRDefault="003916F1">
      <w:pPr>
        <w:jc w:val="both"/>
        <w:rPr>
          <w:b/>
          <w:bCs/>
          <w:sz w:val="24"/>
          <w:szCs w:val="24"/>
        </w:rPr>
      </w:pPr>
    </w:p>
    <w:p w:rsidR="00FB0ABC" w:rsidRPr="000A6E15" w:rsidRDefault="00FB0ABC" w:rsidP="00B6398E">
      <w:pPr>
        <w:pStyle w:val="ListParagraph"/>
        <w:numPr>
          <w:ilvl w:val="0"/>
          <w:numId w:val="12"/>
        </w:numPr>
        <w:ind w:left="360"/>
        <w:jc w:val="both"/>
        <w:rPr>
          <w:sz w:val="24"/>
          <w:szCs w:val="24"/>
        </w:rPr>
      </w:pPr>
      <w:r w:rsidRPr="000A6E15">
        <w:rPr>
          <w:sz w:val="24"/>
          <w:szCs w:val="24"/>
        </w:rPr>
        <w:t xml:space="preserve">The data presented in this report on the number of settlements, </w:t>
      </w:r>
      <w:r w:rsidR="00BB0750">
        <w:rPr>
          <w:sz w:val="24"/>
          <w:szCs w:val="24"/>
        </w:rPr>
        <w:t xml:space="preserve">and </w:t>
      </w:r>
      <w:r w:rsidRPr="000A6E15">
        <w:rPr>
          <w:sz w:val="24"/>
          <w:szCs w:val="24"/>
        </w:rPr>
        <w:t xml:space="preserve">occupation sites are not consistent with what is reported from other sources due to the different definitions and classifications. </w:t>
      </w:r>
    </w:p>
    <w:p w:rsidR="00080126" w:rsidRPr="000A6E15" w:rsidRDefault="000A6E15" w:rsidP="000A6E15">
      <w:pPr>
        <w:tabs>
          <w:tab w:val="left" w:pos="1803"/>
        </w:tabs>
        <w:jc w:val="both"/>
        <w:rPr>
          <w:sz w:val="24"/>
          <w:szCs w:val="24"/>
        </w:rPr>
      </w:pPr>
      <w:r w:rsidRPr="000A6E15">
        <w:rPr>
          <w:sz w:val="24"/>
          <w:szCs w:val="24"/>
        </w:rPr>
        <w:tab/>
      </w:r>
    </w:p>
    <w:p w:rsidR="00367B61" w:rsidRPr="000A6E15" w:rsidRDefault="00367B61" w:rsidP="00706476">
      <w:pPr>
        <w:pStyle w:val="ListParagraph"/>
        <w:numPr>
          <w:ilvl w:val="0"/>
          <w:numId w:val="12"/>
        </w:numPr>
        <w:ind w:left="360"/>
        <w:jc w:val="both"/>
        <w:rPr>
          <w:sz w:val="24"/>
          <w:szCs w:val="24"/>
        </w:rPr>
      </w:pPr>
      <w:r w:rsidRPr="000A6E15">
        <w:rPr>
          <w:sz w:val="24"/>
          <w:szCs w:val="24"/>
        </w:rPr>
        <w:t xml:space="preserve">There are no </w:t>
      </w:r>
      <w:r w:rsidR="00DC5310" w:rsidRPr="000A6E15">
        <w:rPr>
          <w:sz w:val="24"/>
          <w:szCs w:val="24"/>
        </w:rPr>
        <w:t xml:space="preserve">data about the </w:t>
      </w:r>
      <w:r w:rsidRPr="000A6E15">
        <w:rPr>
          <w:sz w:val="24"/>
          <w:szCs w:val="24"/>
        </w:rPr>
        <w:t xml:space="preserve">population of </w:t>
      </w:r>
      <w:r w:rsidR="00706476">
        <w:rPr>
          <w:sz w:val="24"/>
          <w:szCs w:val="24"/>
        </w:rPr>
        <w:t>four</w:t>
      </w:r>
      <w:r w:rsidRPr="000A6E15">
        <w:rPr>
          <w:sz w:val="24"/>
          <w:szCs w:val="24"/>
        </w:rPr>
        <w:t xml:space="preserve"> settlements appeared in this report which are located </w:t>
      </w:r>
      <w:r w:rsidR="003D325E" w:rsidRPr="000A6E15">
        <w:rPr>
          <w:sz w:val="24"/>
          <w:szCs w:val="24"/>
        </w:rPr>
        <w:t xml:space="preserve">in </w:t>
      </w:r>
      <w:r w:rsidR="00706476" w:rsidRPr="00706476">
        <w:rPr>
          <w:sz w:val="24"/>
          <w:szCs w:val="24"/>
        </w:rPr>
        <w:t>Qalqiliya</w:t>
      </w:r>
      <w:r w:rsidR="00706476">
        <w:rPr>
          <w:sz w:val="24"/>
          <w:szCs w:val="24"/>
        </w:rPr>
        <w:t xml:space="preserve">, </w:t>
      </w:r>
      <w:r w:rsidR="003D325E" w:rsidRPr="000A6E15">
        <w:rPr>
          <w:sz w:val="24"/>
          <w:szCs w:val="24"/>
        </w:rPr>
        <w:t>Jerusalem</w:t>
      </w:r>
      <w:r w:rsidRPr="000A6E15">
        <w:rPr>
          <w:sz w:val="24"/>
          <w:szCs w:val="24"/>
        </w:rPr>
        <w:t xml:space="preserve"> and </w:t>
      </w:r>
      <w:r w:rsidR="00291DD6" w:rsidRPr="000A6E15">
        <w:rPr>
          <w:sz w:val="24"/>
          <w:szCs w:val="24"/>
        </w:rPr>
        <w:t>Jericho &amp; Al-Aghwar governorate</w:t>
      </w:r>
      <w:r w:rsidR="00600181">
        <w:rPr>
          <w:sz w:val="24"/>
          <w:szCs w:val="24"/>
        </w:rPr>
        <w:t>s</w:t>
      </w:r>
      <w:r w:rsidRPr="000A6E15">
        <w:rPr>
          <w:sz w:val="24"/>
          <w:szCs w:val="24"/>
        </w:rPr>
        <w:t xml:space="preserve">. </w:t>
      </w:r>
    </w:p>
    <w:p w:rsidR="002900B6" w:rsidRPr="000A6E15" w:rsidRDefault="002900B6" w:rsidP="00B6398E">
      <w:pPr>
        <w:jc w:val="both"/>
        <w:rPr>
          <w:sz w:val="24"/>
          <w:szCs w:val="24"/>
        </w:rPr>
      </w:pPr>
    </w:p>
    <w:p w:rsidR="00D36F62" w:rsidRPr="000A6E15" w:rsidRDefault="00D36F62" w:rsidP="00B6398E">
      <w:pPr>
        <w:pStyle w:val="BodyText"/>
        <w:rPr>
          <w:rFonts w:cs="Times New Roman"/>
          <w:szCs w:val="24"/>
        </w:rPr>
      </w:pPr>
    </w:p>
    <w:p w:rsidR="00D36F62" w:rsidRPr="000A6E15" w:rsidRDefault="00D36F62" w:rsidP="00B6398E">
      <w:pPr>
        <w:pStyle w:val="BodyText"/>
        <w:rPr>
          <w:rFonts w:cs="Times New Roman"/>
          <w:szCs w:val="24"/>
        </w:rPr>
      </w:pPr>
    </w:p>
    <w:p w:rsidR="00D36F62" w:rsidRPr="000A6E15" w:rsidRDefault="00D36F62" w:rsidP="00B6398E">
      <w:pPr>
        <w:pStyle w:val="BodyText"/>
        <w:rPr>
          <w:rFonts w:cs="Times New Roman"/>
          <w:szCs w:val="24"/>
        </w:rPr>
      </w:pPr>
    </w:p>
    <w:p w:rsidR="003916F1" w:rsidRPr="00D36F62" w:rsidRDefault="003916F1" w:rsidP="00D36F62">
      <w:pPr>
        <w:pStyle w:val="BodyText"/>
        <w:rPr>
          <w:rFonts w:cs="Times New Roman"/>
          <w:b/>
          <w:bCs/>
          <w:szCs w:val="24"/>
        </w:rPr>
      </w:pPr>
      <w:r w:rsidRPr="00D36F62">
        <w:rPr>
          <w:rFonts w:cs="Times New Roman"/>
          <w:b/>
          <w:bCs/>
          <w:szCs w:val="24"/>
        </w:rPr>
        <w:br w:type="page"/>
      </w:r>
    </w:p>
    <w:p w:rsidR="003916F1" w:rsidRPr="00C603A9" w:rsidRDefault="003916F1">
      <w:pPr>
        <w:jc w:val="both"/>
        <w:rPr>
          <w:b/>
          <w:bCs/>
          <w:sz w:val="24"/>
          <w:szCs w:val="24"/>
        </w:rPr>
      </w:pPr>
    </w:p>
    <w:p w:rsidR="000658F1" w:rsidRPr="00C603A9" w:rsidRDefault="003916F1" w:rsidP="000658F1">
      <w:pPr>
        <w:pStyle w:val="BodyText"/>
        <w:jc w:val="center"/>
        <w:rPr>
          <w:b/>
          <w:bCs/>
          <w:sz w:val="28"/>
        </w:rPr>
      </w:pPr>
      <w:r w:rsidRPr="00C603A9">
        <w:rPr>
          <w:b/>
          <w:bCs/>
          <w:sz w:val="44"/>
          <w:szCs w:val="44"/>
        </w:rPr>
        <w:br w:type="page"/>
      </w:r>
      <w:r w:rsidR="000658F1" w:rsidRPr="00C603A9">
        <w:rPr>
          <w:b/>
          <w:bCs/>
          <w:sz w:val="28"/>
        </w:rPr>
        <w:t>Table of Contents</w:t>
      </w:r>
    </w:p>
    <w:p w:rsidR="000658F1" w:rsidRPr="000B7819" w:rsidRDefault="000658F1" w:rsidP="000658F1">
      <w:pPr>
        <w:rPr>
          <w:b/>
          <w:bCs/>
          <w:sz w:val="28"/>
          <w:szCs w:val="28"/>
        </w:rPr>
      </w:pPr>
    </w:p>
    <w:tbl>
      <w:tblPr>
        <w:tblW w:w="9129" w:type="dxa"/>
        <w:jc w:val="center"/>
        <w:tblLayout w:type="fixed"/>
        <w:tblLook w:val="0000" w:firstRow="0" w:lastRow="0" w:firstColumn="0" w:lastColumn="0" w:noHBand="0" w:noVBand="0"/>
      </w:tblPr>
      <w:tblGrid>
        <w:gridCol w:w="1779"/>
        <w:gridCol w:w="6470"/>
        <w:gridCol w:w="880"/>
      </w:tblGrid>
      <w:tr w:rsidR="000658F1" w:rsidRPr="00C603A9" w:rsidTr="00272772">
        <w:trPr>
          <w:jc w:val="center"/>
        </w:trPr>
        <w:tc>
          <w:tcPr>
            <w:tcW w:w="8249" w:type="dxa"/>
            <w:gridSpan w:val="2"/>
          </w:tcPr>
          <w:p w:rsidR="000658F1" w:rsidRPr="00C603A9" w:rsidRDefault="000658F1" w:rsidP="003916F1">
            <w:pPr>
              <w:pStyle w:val="Heading1"/>
              <w:jc w:val="left"/>
            </w:pPr>
            <w:r w:rsidRPr="00C603A9">
              <w:rPr>
                <w:b/>
                <w:bCs/>
              </w:rPr>
              <w:t>Subject</w:t>
            </w:r>
          </w:p>
        </w:tc>
        <w:tc>
          <w:tcPr>
            <w:tcW w:w="880" w:type="dxa"/>
            <w:vAlign w:val="center"/>
          </w:tcPr>
          <w:p w:rsidR="000658F1" w:rsidRPr="00C603A9" w:rsidRDefault="000658F1" w:rsidP="003916F1">
            <w:pPr>
              <w:pStyle w:val="Heading1"/>
              <w:jc w:val="center"/>
              <w:rPr>
                <w:b/>
                <w:bCs/>
                <w:szCs w:val="24"/>
              </w:rPr>
            </w:pPr>
            <w:r w:rsidRPr="00C603A9">
              <w:rPr>
                <w:b/>
                <w:bCs/>
                <w:szCs w:val="24"/>
              </w:rPr>
              <w:t>Page</w:t>
            </w: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center"/>
              <w:rPr>
                <w:b/>
                <w:bCs/>
                <w:sz w:val="12"/>
                <w:szCs w:val="12"/>
              </w:rPr>
            </w:pPr>
          </w:p>
        </w:tc>
      </w:tr>
      <w:tr w:rsidR="000658F1" w:rsidRPr="00C603A9" w:rsidTr="00272772">
        <w:trPr>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0658F1" w:rsidP="003916F1">
            <w:pPr>
              <w:pStyle w:val="Heading1"/>
              <w:ind w:left="-16"/>
              <w:jc w:val="left"/>
              <w:rPr>
                <w:szCs w:val="24"/>
              </w:rPr>
            </w:pPr>
            <w:r w:rsidRPr="00C603A9">
              <w:rPr>
                <w:szCs w:val="24"/>
              </w:rPr>
              <w:t>List of Tables</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trHeight w:val="377"/>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B55CD7" w:rsidP="00B55CD7">
            <w:pPr>
              <w:pStyle w:val="Heading1"/>
              <w:jc w:val="left"/>
              <w:rPr>
                <w:iCs/>
                <w:szCs w:val="24"/>
              </w:rPr>
            </w:pPr>
            <w:r w:rsidRPr="00C603A9">
              <w:rPr>
                <w:iCs/>
                <w:szCs w:val="24"/>
              </w:rPr>
              <w:t>Introduction</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BC1C6F" w:rsidRPr="00C603A9" w:rsidTr="00272772">
        <w:trPr>
          <w:jc w:val="center"/>
        </w:trPr>
        <w:tc>
          <w:tcPr>
            <w:tcW w:w="1779" w:type="dxa"/>
          </w:tcPr>
          <w:p w:rsidR="00BC1C6F" w:rsidRPr="00C603A9" w:rsidRDefault="00BC1C6F" w:rsidP="00BC1C6F">
            <w:pPr>
              <w:pStyle w:val="Heading8"/>
              <w:rPr>
                <w:rFonts w:cs="Simplified Arabic"/>
                <w:b w:val="0"/>
                <w:bCs w:val="0"/>
                <w:snapToGrid/>
                <w:szCs w:val="24"/>
              </w:rPr>
            </w:pPr>
            <w:r w:rsidRPr="00C603A9">
              <w:rPr>
                <w:rFonts w:cs="Simplified Arabic"/>
                <w:b w:val="0"/>
                <w:bCs w:val="0"/>
                <w:snapToGrid/>
                <w:szCs w:val="24"/>
              </w:rPr>
              <w:t xml:space="preserve">Chapter </w:t>
            </w:r>
            <w:r w:rsidRPr="00BC1C6F">
              <w:rPr>
                <w:rFonts w:cs="Simplified Arabic"/>
                <w:b w:val="0"/>
                <w:bCs w:val="0"/>
                <w:snapToGrid/>
                <w:szCs w:val="24"/>
              </w:rPr>
              <w:t>One</w:t>
            </w:r>
            <w:r>
              <w:rPr>
                <w:rFonts w:cs="Simplified Arabic"/>
                <w:b w:val="0"/>
                <w:bCs w:val="0"/>
                <w:snapToGrid/>
                <w:szCs w:val="24"/>
              </w:rPr>
              <w:t>:</w:t>
            </w:r>
          </w:p>
        </w:tc>
        <w:tc>
          <w:tcPr>
            <w:tcW w:w="6470" w:type="dxa"/>
            <w:vAlign w:val="center"/>
          </w:tcPr>
          <w:p w:rsidR="00BC1C6F" w:rsidRPr="00C603A9" w:rsidRDefault="008E28F7" w:rsidP="008E28F7">
            <w:pPr>
              <w:pStyle w:val="Heading1"/>
              <w:ind w:left="-16"/>
              <w:jc w:val="left"/>
              <w:rPr>
                <w:b/>
                <w:bCs/>
                <w:szCs w:val="24"/>
              </w:rPr>
            </w:pPr>
            <w:r>
              <w:rPr>
                <w:b/>
                <w:bCs/>
                <w:szCs w:val="24"/>
              </w:rPr>
              <w:t xml:space="preserve">Concepts and </w:t>
            </w:r>
            <w:r w:rsidR="000D1BF9">
              <w:rPr>
                <w:b/>
                <w:bCs/>
                <w:szCs w:val="24"/>
              </w:rPr>
              <w:t>Terms</w:t>
            </w:r>
            <w:r w:rsidR="00BC1C6F" w:rsidRPr="00C603A9">
              <w:rPr>
                <w:b/>
                <w:bCs/>
                <w:szCs w:val="24"/>
              </w:rPr>
              <w:t xml:space="preserve"> </w:t>
            </w:r>
          </w:p>
        </w:tc>
        <w:tc>
          <w:tcPr>
            <w:tcW w:w="880" w:type="dxa"/>
            <w:vAlign w:val="center"/>
          </w:tcPr>
          <w:p w:rsidR="00BC1C6F" w:rsidRPr="00C603A9" w:rsidRDefault="00BC1C6F" w:rsidP="00BC1C6F">
            <w:pPr>
              <w:pStyle w:val="Heading1"/>
              <w:jc w:val="center"/>
              <w:rPr>
                <w:b/>
                <w:bCs/>
                <w:szCs w:val="24"/>
                <w:rtl/>
                <w:lang w:val="en-GB"/>
              </w:rPr>
            </w:pPr>
            <w:r w:rsidRPr="00C603A9">
              <w:rPr>
                <w:b/>
                <w:bCs/>
                <w:szCs w:val="24"/>
              </w:rPr>
              <w:t>[</w:t>
            </w:r>
            <w:r>
              <w:rPr>
                <w:b/>
                <w:bCs/>
                <w:szCs w:val="24"/>
              </w:rPr>
              <w:t>15</w:t>
            </w:r>
            <w:r w:rsidRPr="00C603A9">
              <w:rPr>
                <w:b/>
                <w:bCs/>
                <w:szCs w:val="24"/>
              </w:rPr>
              <w:t>]</w:t>
            </w:r>
          </w:p>
        </w:tc>
      </w:tr>
      <w:tr w:rsidR="00BC1C6F" w:rsidRPr="00C603A9" w:rsidTr="00272772">
        <w:trPr>
          <w:jc w:val="center"/>
        </w:trPr>
        <w:tc>
          <w:tcPr>
            <w:tcW w:w="1779" w:type="dxa"/>
          </w:tcPr>
          <w:p w:rsidR="00BC1C6F" w:rsidRPr="00C603A9" w:rsidRDefault="00BC1C6F" w:rsidP="00183095">
            <w:pPr>
              <w:pStyle w:val="Heading1"/>
              <w:jc w:val="left"/>
              <w:rPr>
                <w:b/>
                <w:bCs/>
                <w:sz w:val="12"/>
                <w:szCs w:val="12"/>
              </w:rPr>
            </w:pPr>
          </w:p>
        </w:tc>
        <w:tc>
          <w:tcPr>
            <w:tcW w:w="6470" w:type="dxa"/>
            <w:vAlign w:val="center"/>
          </w:tcPr>
          <w:p w:rsidR="00BC1C6F" w:rsidRPr="00C603A9" w:rsidRDefault="00BC1C6F" w:rsidP="00183095">
            <w:pPr>
              <w:pStyle w:val="Heading1"/>
              <w:ind w:left="-16"/>
              <w:jc w:val="left"/>
              <w:rPr>
                <w:b/>
                <w:bCs/>
                <w:sz w:val="12"/>
                <w:szCs w:val="12"/>
              </w:rPr>
            </w:pPr>
          </w:p>
        </w:tc>
        <w:tc>
          <w:tcPr>
            <w:tcW w:w="880" w:type="dxa"/>
            <w:vAlign w:val="center"/>
          </w:tcPr>
          <w:p w:rsidR="00BC1C6F" w:rsidRPr="00C603A9" w:rsidRDefault="00BC1C6F" w:rsidP="00183095">
            <w:pPr>
              <w:pStyle w:val="Heading1"/>
              <w:jc w:val="left"/>
              <w:rPr>
                <w:b/>
                <w:bCs/>
                <w:sz w:val="12"/>
                <w:szCs w:val="12"/>
              </w:rPr>
            </w:pPr>
          </w:p>
        </w:tc>
      </w:tr>
      <w:tr w:rsidR="000658F1" w:rsidRPr="00C603A9" w:rsidTr="00272772">
        <w:trPr>
          <w:jc w:val="center"/>
        </w:trPr>
        <w:tc>
          <w:tcPr>
            <w:tcW w:w="1779" w:type="dxa"/>
          </w:tcPr>
          <w:p w:rsidR="000658F1" w:rsidRPr="00C603A9" w:rsidRDefault="00556D30" w:rsidP="00BC1C6F">
            <w:pPr>
              <w:pStyle w:val="Heading1"/>
              <w:jc w:val="left"/>
              <w:rPr>
                <w:szCs w:val="24"/>
              </w:rPr>
            </w:pPr>
            <w:r w:rsidRPr="00C603A9">
              <w:rPr>
                <w:szCs w:val="24"/>
              </w:rPr>
              <w:t>Chapter</w:t>
            </w:r>
            <w:r w:rsidR="00BC1C6F" w:rsidRPr="00C603A9">
              <w:rPr>
                <w:szCs w:val="24"/>
              </w:rPr>
              <w:t xml:space="preserve"> Two</w:t>
            </w:r>
            <w:r w:rsidR="000658F1" w:rsidRPr="00C603A9">
              <w:rPr>
                <w:szCs w:val="24"/>
              </w:rPr>
              <w:t>:</w:t>
            </w:r>
          </w:p>
        </w:tc>
        <w:tc>
          <w:tcPr>
            <w:tcW w:w="6470" w:type="dxa"/>
            <w:vAlign w:val="center"/>
          </w:tcPr>
          <w:p w:rsidR="000658F1" w:rsidRPr="00C603A9" w:rsidRDefault="000C589F" w:rsidP="003916F1">
            <w:pPr>
              <w:pStyle w:val="Heading1"/>
              <w:ind w:left="-16"/>
              <w:jc w:val="left"/>
              <w:rPr>
                <w:b/>
                <w:bCs/>
                <w:szCs w:val="24"/>
              </w:rPr>
            </w:pPr>
            <w:r w:rsidRPr="00C603A9">
              <w:rPr>
                <w:b/>
                <w:bCs/>
                <w:szCs w:val="24"/>
              </w:rPr>
              <w:t>Main Findings</w:t>
            </w:r>
          </w:p>
        </w:tc>
        <w:tc>
          <w:tcPr>
            <w:tcW w:w="880" w:type="dxa"/>
            <w:vAlign w:val="center"/>
          </w:tcPr>
          <w:p w:rsidR="000658F1" w:rsidRPr="00C603A9" w:rsidRDefault="000658F1" w:rsidP="00BC1C6F">
            <w:pPr>
              <w:pStyle w:val="Heading1"/>
              <w:jc w:val="center"/>
              <w:rPr>
                <w:b/>
                <w:bCs/>
                <w:szCs w:val="24"/>
              </w:rPr>
            </w:pPr>
            <w:r w:rsidRPr="00C603A9">
              <w:rPr>
                <w:b/>
                <w:bCs/>
                <w:szCs w:val="24"/>
              </w:rPr>
              <w:t>[</w:t>
            </w:r>
            <w:r w:rsidR="00BC1C6F">
              <w:rPr>
                <w:b/>
                <w:bCs/>
                <w:szCs w:val="24"/>
              </w:rPr>
              <w:t>19</w:t>
            </w:r>
            <w:r w:rsidRPr="00C603A9">
              <w:rPr>
                <w:b/>
                <w:bCs/>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rtl/>
                <w:lang w:val="en-GB" w:eastAsia="en-GB"/>
              </w:rPr>
            </w:pPr>
          </w:p>
        </w:tc>
        <w:tc>
          <w:tcPr>
            <w:tcW w:w="6470" w:type="dxa"/>
            <w:vAlign w:val="center"/>
          </w:tcPr>
          <w:p w:rsidR="000658F1" w:rsidRPr="00C603A9" w:rsidRDefault="00BC1C6F" w:rsidP="003916F1">
            <w:pPr>
              <w:pStyle w:val="Heading1"/>
              <w:ind w:left="-16"/>
              <w:jc w:val="left"/>
              <w:rPr>
                <w:szCs w:val="24"/>
              </w:rPr>
            </w:pPr>
            <w:r>
              <w:rPr>
                <w:rFonts w:hint="cs"/>
                <w:szCs w:val="24"/>
                <w:rtl/>
                <w:lang w:val="en-GB" w:eastAsia="en-GB"/>
              </w:rPr>
              <w:t>2</w:t>
            </w:r>
            <w:r w:rsidR="00556D30" w:rsidRPr="00C603A9">
              <w:rPr>
                <w:rFonts w:hint="cs"/>
                <w:szCs w:val="24"/>
                <w:rtl/>
                <w:lang w:val="en-GB" w:eastAsia="en-GB"/>
              </w:rPr>
              <w:t>.1</w:t>
            </w:r>
            <w:r w:rsidR="000658F1" w:rsidRPr="00C603A9">
              <w:rPr>
                <w:szCs w:val="24"/>
              </w:rPr>
              <w:t xml:space="preserve">  S</w:t>
            </w:r>
            <w:r w:rsidR="000658F1" w:rsidRPr="00C603A9">
              <w:t xml:space="preserve">ettlements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0658F1" w:rsidRPr="00C603A9" w:rsidTr="00272772">
        <w:trPr>
          <w:trHeight w:val="340"/>
          <w:jc w:val="center"/>
        </w:trPr>
        <w:tc>
          <w:tcPr>
            <w:tcW w:w="1779" w:type="dxa"/>
          </w:tcPr>
          <w:p w:rsidR="000658F1" w:rsidRPr="00C603A9" w:rsidRDefault="000658F1" w:rsidP="00067F02">
            <w:pPr>
              <w:pStyle w:val="Heading1"/>
              <w:ind w:left="-16"/>
              <w:jc w:val="left"/>
            </w:pPr>
          </w:p>
        </w:tc>
        <w:tc>
          <w:tcPr>
            <w:tcW w:w="6470" w:type="dxa"/>
            <w:vAlign w:val="center"/>
          </w:tcPr>
          <w:p w:rsidR="000658F1" w:rsidRPr="00C603A9" w:rsidRDefault="00BC1C6F" w:rsidP="000A6E15">
            <w:pPr>
              <w:pStyle w:val="Heading1"/>
              <w:ind w:left="-16"/>
              <w:jc w:val="left"/>
            </w:pPr>
            <w:r>
              <w:rPr>
                <w:rFonts w:hint="cs"/>
                <w:szCs w:val="24"/>
                <w:rtl/>
                <w:lang w:val="en-GB" w:eastAsia="en-GB"/>
              </w:rPr>
              <w:t>2</w:t>
            </w:r>
            <w:r w:rsidR="00556D30" w:rsidRPr="00C603A9">
              <w:rPr>
                <w:rFonts w:hint="cs"/>
                <w:szCs w:val="24"/>
                <w:rtl/>
                <w:lang w:val="en-GB" w:eastAsia="en-GB"/>
              </w:rPr>
              <w:t>.2</w:t>
            </w:r>
            <w:r w:rsidR="000658F1" w:rsidRPr="00C603A9">
              <w:t xml:space="preserve">  </w:t>
            </w:r>
            <w:r w:rsidR="000A6E15">
              <w:t xml:space="preserve">Number of </w:t>
            </w:r>
            <w:r w:rsidR="00067F02" w:rsidRPr="00C603A9">
              <w:t>Settler</w:t>
            </w:r>
            <w:r w:rsidR="009A51D4">
              <w:t>s</w:t>
            </w:r>
            <w:r w:rsidR="00067F02" w:rsidRPr="00C603A9">
              <w:t xml:space="preserve">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556D30" w:rsidRPr="00C603A9" w:rsidTr="00272772">
        <w:trPr>
          <w:trHeight w:val="340"/>
          <w:jc w:val="center"/>
        </w:trPr>
        <w:tc>
          <w:tcPr>
            <w:tcW w:w="1779" w:type="dxa"/>
          </w:tcPr>
          <w:p w:rsidR="00556D30" w:rsidRPr="00C603A9" w:rsidRDefault="00556D30" w:rsidP="003916F1">
            <w:pPr>
              <w:pStyle w:val="Heading1"/>
              <w:ind w:left="567" w:hanging="247"/>
              <w:jc w:val="left"/>
              <w:rPr>
                <w:szCs w:val="24"/>
                <w:lang w:val="en-GB" w:eastAsia="en-GB"/>
              </w:rPr>
            </w:pPr>
          </w:p>
        </w:tc>
        <w:tc>
          <w:tcPr>
            <w:tcW w:w="6470" w:type="dxa"/>
            <w:vAlign w:val="center"/>
          </w:tcPr>
          <w:p w:rsidR="00556D30" w:rsidRPr="00B83961" w:rsidRDefault="00BC1C6F" w:rsidP="00B83961">
            <w:pPr>
              <w:pStyle w:val="Heading1"/>
              <w:ind w:left="-16"/>
              <w:jc w:val="left"/>
              <w:rPr>
                <w:szCs w:val="24"/>
                <w:lang w:eastAsia="en-GB"/>
              </w:rPr>
            </w:pPr>
            <w:r>
              <w:rPr>
                <w:szCs w:val="24"/>
                <w:lang w:val="en-GB" w:eastAsia="en-GB"/>
              </w:rPr>
              <w:t>2</w:t>
            </w:r>
            <w:r w:rsidR="00556D30" w:rsidRPr="00C603A9">
              <w:rPr>
                <w:szCs w:val="24"/>
                <w:lang w:val="en-GB" w:eastAsia="en-GB"/>
              </w:rPr>
              <w:t xml:space="preserve">.3 </w:t>
            </w:r>
            <w:r w:rsidR="00067F02" w:rsidRPr="00C603A9">
              <w:t>Stages of Settlement</w:t>
            </w:r>
            <w:r w:rsidR="00B83961" w:rsidRPr="00B83961">
              <w:t xml:space="preserve"> </w:t>
            </w:r>
          </w:p>
        </w:tc>
        <w:tc>
          <w:tcPr>
            <w:tcW w:w="880" w:type="dxa"/>
            <w:vAlign w:val="center"/>
          </w:tcPr>
          <w:p w:rsidR="00556D30" w:rsidRPr="00C603A9" w:rsidRDefault="00556D30" w:rsidP="00BC1C6F">
            <w:pPr>
              <w:pStyle w:val="Heading1"/>
              <w:jc w:val="center"/>
              <w:rPr>
                <w:szCs w:val="24"/>
              </w:rPr>
            </w:pPr>
            <w:r w:rsidRPr="00C603A9">
              <w:rPr>
                <w:szCs w:val="24"/>
              </w:rPr>
              <w:t>[</w:t>
            </w:r>
            <w:r w:rsidR="00BC1C6F">
              <w:rPr>
                <w:szCs w:val="24"/>
              </w:rPr>
              <w:t>20</w:t>
            </w:r>
            <w:r w:rsidRPr="00C603A9">
              <w:rPr>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BC1C6F" w:rsidP="003916F1">
            <w:pPr>
              <w:pStyle w:val="Heading1"/>
              <w:ind w:left="-16"/>
              <w:jc w:val="left"/>
              <w:rPr>
                <w:szCs w:val="24"/>
                <w:lang w:eastAsia="en-GB"/>
              </w:rPr>
            </w:pPr>
            <w:r>
              <w:rPr>
                <w:rFonts w:hint="cs"/>
                <w:szCs w:val="24"/>
                <w:rtl/>
                <w:lang w:val="en-GB" w:eastAsia="en-GB"/>
              </w:rPr>
              <w:t>2</w:t>
            </w:r>
            <w:r w:rsidR="00556D30" w:rsidRPr="00C603A9">
              <w:rPr>
                <w:rFonts w:hint="cs"/>
                <w:szCs w:val="24"/>
                <w:rtl/>
                <w:lang w:val="en-GB" w:eastAsia="en-GB"/>
              </w:rPr>
              <w:t>.4</w:t>
            </w:r>
            <w:r w:rsidR="000658F1" w:rsidRPr="00C603A9">
              <w:rPr>
                <w:szCs w:val="24"/>
                <w:lang w:val="en-GB" w:eastAsia="en-GB"/>
              </w:rPr>
              <w:t xml:space="preserve">  </w:t>
            </w:r>
            <w:r w:rsidR="00067F02" w:rsidRPr="00C603A9">
              <w:t>Nature of Settlement in the West Bank</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2.5 Regional Councils</w:t>
            </w:r>
          </w:p>
        </w:tc>
        <w:tc>
          <w:tcPr>
            <w:tcW w:w="880" w:type="dxa"/>
            <w:vAlign w:val="center"/>
          </w:tcPr>
          <w:p w:rsidR="00272772" w:rsidRPr="00C603A9" w:rsidRDefault="00272772" w:rsidP="00AA38EE">
            <w:pPr>
              <w:pStyle w:val="Heading1"/>
              <w:jc w:val="center"/>
              <w:rPr>
                <w:szCs w:val="24"/>
              </w:rPr>
            </w:pPr>
            <w:r w:rsidRPr="00C603A9">
              <w:rPr>
                <w:szCs w:val="24"/>
              </w:rPr>
              <w:t>[</w:t>
            </w:r>
            <w:r w:rsidR="00AA38EE">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272772" w:rsidRDefault="00272772" w:rsidP="00272772">
            <w:pPr>
              <w:pStyle w:val="Heading1"/>
              <w:ind w:left="-16"/>
              <w:jc w:val="left"/>
              <w:rPr>
                <w:szCs w:val="24"/>
                <w:lang w:eastAsia="en-GB"/>
              </w:rPr>
            </w:pPr>
            <w:r w:rsidRPr="00272772">
              <w:rPr>
                <w:szCs w:val="24"/>
                <w:lang w:val="en-GB" w:eastAsia="en-GB"/>
              </w:rPr>
              <w:t>2.6  Geographic</w:t>
            </w:r>
            <w:r w:rsidRPr="00272772">
              <w:rPr>
                <w:szCs w:val="24"/>
                <w:lang w:eastAsia="en-GB"/>
              </w:rPr>
              <w:t>al</w:t>
            </w:r>
            <w:r w:rsidRPr="00272772">
              <w:rPr>
                <w:szCs w:val="24"/>
                <w:lang w:val="en-GB" w:eastAsia="en-GB"/>
              </w:rPr>
              <w:t xml:space="preserve"> Dispersion </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tabs>
                <w:tab w:val="left" w:pos="3270"/>
              </w:tabs>
              <w:rPr>
                <w:sz w:val="24"/>
                <w:szCs w:val="24"/>
              </w:rPr>
            </w:pPr>
            <w:r w:rsidRPr="00272772">
              <w:rPr>
                <w:sz w:val="24"/>
                <w:szCs w:val="24"/>
              </w:rPr>
              <w:t xml:space="preserve">2.7 Overwhelming Ideology </w:t>
            </w:r>
          </w:p>
        </w:tc>
        <w:tc>
          <w:tcPr>
            <w:tcW w:w="880" w:type="dxa"/>
            <w:vAlign w:val="center"/>
          </w:tcPr>
          <w:p w:rsidR="00272772" w:rsidRPr="00C603A9" w:rsidRDefault="00272772" w:rsidP="008526DD">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2.8 Organizational Affiliation</w:t>
            </w:r>
          </w:p>
        </w:tc>
        <w:tc>
          <w:tcPr>
            <w:tcW w:w="880" w:type="dxa"/>
            <w:vAlign w:val="center"/>
          </w:tcPr>
          <w:p w:rsidR="00272772" w:rsidRPr="00C603A9" w:rsidRDefault="00272772" w:rsidP="008526DD">
            <w:pPr>
              <w:pStyle w:val="Heading1"/>
              <w:jc w:val="center"/>
              <w:rPr>
                <w:szCs w:val="24"/>
              </w:rPr>
            </w:pPr>
            <w:r w:rsidRPr="00C603A9">
              <w:rPr>
                <w:szCs w:val="24"/>
              </w:rPr>
              <w:t>[</w:t>
            </w:r>
            <w:r w:rsidR="008526DD">
              <w:rPr>
                <w:szCs w:val="24"/>
              </w:rPr>
              <w:t>21</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sz w:val="12"/>
                <w:szCs w:val="12"/>
              </w:rPr>
            </w:pPr>
          </w:p>
        </w:tc>
        <w:tc>
          <w:tcPr>
            <w:tcW w:w="6470" w:type="dxa"/>
            <w:vAlign w:val="center"/>
          </w:tcPr>
          <w:p w:rsidR="00272772" w:rsidRPr="00C603A9" w:rsidRDefault="00272772" w:rsidP="003916F1">
            <w:pPr>
              <w:pStyle w:val="Heading1"/>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BC1C6F">
            <w:pPr>
              <w:pStyle w:val="Heading1"/>
              <w:jc w:val="left"/>
              <w:rPr>
                <w:szCs w:val="24"/>
              </w:rPr>
            </w:pPr>
            <w:r w:rsidRPr="00C603A9">
              <w:rPr>
                <w:szCs w:val="24"/>
              </w:rPr>
              <w:t>Chapter Three:</w:t>
            </w:r>
          </w:p>
        </w:tc>
        <w:tc>
          <w:tcPr>
            <w:tcW w:w="6470" w:type="dxa"/>
            <w:vAlign w:val="center"/>
          </w:tcPr>
          <w:p w:rsidR="00272772" w:rsidRPr="00C603A9" w:rsidRDefault="00272772" w:rsidP="00195ADD">
            <w:pPr>
              <w:pStyle w:val="Heading1"/>
              <w:ind w:left="-16"/>
              <w:jc w:val="left"/>
              <w:rPr>
                <w:b/>
                <w:bCs/>
                <w:szCs w:val="24"/>
              </w:rPr>
            </w:pPr>
            <w:r w:rsidRPr="00C603A9">
              <w:rPr>
                <w:b/>
                <w:bCs/>
                <w:szCs w:val="24"/>
              </w:rPr>
              <w:t xml:space="preserve">Methodology </w:t>
            </w:r>
          </w:p>
        </w:tc>
        <w:tc>
          <w:tcPr>
            <w:tcW w:w="880" w:type="dxa"/>
            <w:vAlign w:val="center"/>
          </w:tcPr>
          <w:p w:rsidR="00272772" w:rsidRPr="00C603A9" w:rsidRDefault="00272772" w:rsidP="00BC1C6F">
            <w:pPr>
              <w:pStyle w:val="Heading1"/>
              <w:jc w:val="center"/>
              <w:rPr>
                <w:b/>
                <w:bCs/>
                <w:szCs w:val="24"/>
                <w:rtl/>
                <w:lang w:val="en-GB"/>
              </w:rPr>
            </w:pPr>
            <w:r w:rsidRPr="00C603A9">
              <w:rPr>
                <w:b/>
                <w:bCs/>
                <w:szCs w:val="24"/>
              </w:rPr>
              <w:t>[</w:t>
            </w:r>
            <w:r>
              <w:rPr>
                <w:b/>
                <w:bCs/>
                <w:szCs w:val="24"/>
              </w:rPr>
              <w:t>23</w:t>
            </w:r>
            <w:r w:rsidRPr="00C603A9">
              <w:rPr>
                <w:b/>
                <w:bCs/>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rtl/>
                <w:lang w:val="en-GB" w:eastAsia="en-GB"/>
              </w:rPr>
            </w:pPr>
          </w:p>
        </w:tc>
        <w:tc>
          <w:tcPr>
            <w:tcW w:w="6470" w:type="dxa"/>
            <w:vAlign w:val="center"/>
          </w:tcPr>
          <w:p w:rsidR="00272772" w:rsidRPr="00C603A9" w:rsidRDefault="00272772" w:rsidP="00D3566E">
            <w:pPr>
              <w:pStyle w:val="Heading1"/>
              <w:ind w:left="-16"/>
              <w:jc w:val="left"/>
              <w:rPr>
                <w:szCs w:val="24"/>
                <w:lang w:val="en-GB" w:eastAsia="en-GB"/>
              </w:rPr>
            </w:pPr>
            <w:r>
              <w:rPr>
                <w:szCs w:val="24"/>
                <w:lang w:val="en-GB" w:eastAsia="en-GB"/>
              </w:rPr>
              <w:t>3</w:t>
            </w:r>
            <w:r w:rsidRPr="00C603A9">
              <w:rPr>
                <w:szCs w:val="24"/>
                <w:lang w:val="en-GB" w:eastAsia="en-GB"/>
              </w:rPr>
              <w:t xml:space="preserve">.1 </w:t>
            </w:r>
            <w:r w:rsidRPr="00C603A9">
              <w:rPr>
                <w:szCs w:val="24"/>
                <w:lang w:eastAsia="en-GB"/>
              </w:rPr>
              <w:t xml:space="preserve"> </w:t>
            </w:r>
            <w:r>
              <w:rPr>
                <w:szCs w:val="24"/>
                <w:lang w:val="en-GB" w:eastAsia="en-GB"/>
              </w:rPr>
              <w:t>Objectives</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C603A9" w:rsidRDefault="00272772" w:rsidP="00D3566E">
            <w:pPr>
              <w:pStyle w:val="Heading1"/>
              <w:ind w:left="-16"/>
              <w:jc w:val="left"/>
              <w:rPr>
                <w:szCs w:val="24"/>
                <w:lang w:val="en-GB" w:eastAsia="en-GB"/>
              </w:rPr>
            </w:pPr>
            <w:r>
              <w:rPr>
                <w:szCs w:val="24"/>
                <w:lang w:val="en-GB" w:eastAsia="en-GB"/>
              </w:rPr>
              <w:t>3</w:t>
            </w:r>
            <w:r w:rsidRPr="00C603A9">
              <w:rPr>
                <w:szCs w:val="24"/>
                <w:lang w:val="en-GB" w:eastAsia="en-GB"/>
              </w:rPr>
              <w:t>.2  Data Processing</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jc w:val="center"/>
        </w:trPr>
        <w:tc>
          <w:tcPr>
            <w:tcW w:w="1779" w:type="dxa"/>
          </w:tcPr>
          <w:p w:rsidR="00272772" w:rsidRPr="00C603A9" w:rsidRDefault="00272772" w:rsidP="00D3566E">
            <w:pPr>
              <w:pStyle w:val="Heading1"/>
              <w:jc w:val="left"/>
              <w:rPr>
                <w:b/>
                <w:bCs/>
                <w:sz w:val="12"/>
                <w:szCs w:val="12"/>
              </w:rPr>
            </w:pPr>
          </w:p>
        </w:tc>
        <w:tc>
          <w:tcPr>
            <w:tcW w:w="6470" w:type="dxa"/>
            <w:vAlign w:val="center"/>
          </w:tcPr>
          <w:p w:rsidR="00272772" w:rsidRPr="00C603A9" w:rsidRDefault="00272772" w:rsidP="00D3566E">
            <w:pPr>
              <w:pStyle w:val="Heading1"/>
              <w:ind w:left="-16"/>
              <w:jc w:val="left"/>
              <w:rPr>
                <w:b/>
                <w:bCs/>
                <w:sz w:val="12"/>
                <w:szCs w:val="12"/>
              </w:rPr>
            </w:pPr>
          </w:p>
        </w:tc>
        <w:tc>
          <w:tcPr>
            <w:tcW w:w="880" w:type="dxa"/>
            <w:vAlign w:val="center"/>
          </w:tcPr>
          <w:p w:rsidR="00272772" w:rsidRPr="00C603A9" w:rsidRDefault="00272772" w:rsidP="00D3566E">
            <w:pPr>
              <w:pStyle w:val="Heading1"/>
              <w:jc w:val="left"/>
              <w:rPr>
                <w:b/>
                <w:bCs/>
                <w:sz w:val="12"/>
                <w:szCs w:val="12"/>
              </w:rPr>
            </w:pPr>
          </w:p>
        </w:tc>
      </w:tr>
      <w:tr w:rsidR="00272772" w:rsidRPr="00C603A9" w:rsidTr="00272772">
        <w:trPr>
          <w:trHeight w:val="340"/>
          <w:jc w:val="center"/>
        </w:trPr>
        <w:tc>
          <w:tcPr>
            <w:tcW w:w="1779" w:type="dxa"/>
          </w:tcPr>
          <w:p w:rsidR="00272772" w:rsidRPr="00C603A9" w:rsidRDefault="00272772" w:rsidP="00195ADD">
            <w:pPr>
              <w:pStyle w:val="Heading1"/>
              <w:jc w:val="left"/>
              <w:rPr>
                <w:szCs w:val="24"/>
              </w:rPr>
            </w:pPr>
            <w:r w:rsidRPr="00C603A9">
              <w:rPr>
                <w:szCs w:val="24"/>
              </w:rPr>
              <w:t xml:space="preserve">Chapter </w:t>
            </w:r>
            <w:r w:rsidR="00195ADD">
              <w:rPr>
                <w:szCs w:val="24"/>
              </w:rPr>
              <w:t>Four</w:t>
            </w:r>
            <w:r w:rsidRPr="00C603A9">
              <w:rPr>
                <w:szCs w:val="24"/>
              </w:rPr>
              <w:t>:</w:t>
            </w:r>
          </w:p>
        </w:tc>
        <w:tc>
          <w:tcPr>
            <w:tcW w:w="6470" w:type="dxa"/>
            <w:vAlign w:val="center"/>
          </w:tcPr>
          <w:p w:rsidR="00272772" w:rsidRPr="00C603A9" w:rsidRDefault="00272772" w:rsidP="00D3566E">
            <w:pPr>
              <w:pStyle w:val="Heading1"/>
              <w:ind w:left="-16"/>
              <w:jc w:val="left"/>
              <w:rPr>
                <w:b/>
                <w:bCs/>
                <w:szCs w:val="24"/>
              </w:rPr>
            </w:pPr>
            <w:r w:rsidRPr="00C603A9">
              <w:rPr>
                <w:b/>
                <w:bCs/>
                <w:szCs w:val="24"/>
              </w:rPr>
              <w:t>Data Quality</w:t>
            </w:r>
          </w:p>
        </w:tc>
        <w:tc>
          <w:tcPr>
            <w:tcW w:w="880" w:type="dxa"/>
            <w:vAlign w:val="center"/>
          </w:tcPr>
          <w:p w:rsidR="00272772" w:rsidRPr="00D3566E" w:rsidRDefault="00272772" w:rsidP="00D3566E">
            <w:pPr>
              <w:pStyle w:val="Heading1"/>
              <w:jc w:val="center"/>
              <w:rPr>
                <w:b/>
                <w:bCs/>
                <w:szCs w:val="24"/>
              </w:rPr>
            </w:pPr>
            <w:r w:rsidRPr="00D3566E">
              <w:rPr>
                <w:b/>
                <w:bCs/>
                <w:szCs w:val="24"/>
              </w:rPr>
              <w:t>[25]</w:t>
            </w:r>
          </w:p>
        </w:tc>
      </w:tr>
      <w:tr w:rsidR="00272772" w:rsidRPr="00C603A9" w:rsidTr="00272772">
        <w:trPr>
          <w:trHeight w:val="340"/>
          <w:jc w:val="center"/>
        </w:trPr>
        <w:tc>
          <w:tcPr>
            <w:tcW w:w="1779" w:type="dxa"/>
          </w:tcPr>
          <w:p w:rsidR="00272772" w:rsidRPr="00C603A9" w:rsidRDefault="00272772" w:rsidP="00F968BD">
            <w:pPr>
              <w:pStyle w:val="Heading1"/>
              <w:ind w:left="-16"/>
              <w:jc w:val="left"/>
              <w:rPr>
                <w:szCs w:val="24"/>
                <w:rtl/>
                <w:lang w:val="en-GB" w:eastAsia="en-GB"/>
              </w:rPr>
            </w:pPr>
          </w:p>
        </w:tc>
        <w:tc>
          <w:tcPr>
            <w:tcW w:w="6470" w:type="dxa"/>
            <w:vAlign w:val="center"/>
          </w:tcPr>
          <w:p w:rsidR="00272772" w:rsidRPr="00C603A9" w:rsidRDefault="00195ADD" w:rsidP="00195ADD">
            <w:pPr>
              <w:pStyle w:val="Heading1"/>
              <w:ind w:left="-16"/>
              <w:jc w:val="left"/>
              <w:rPr>
                <w:szCs w:val="24"/>
                <w:lang w:val="en-GB" w:eastAsia="en-GB"/>
              </w:rPr>
            </w:pPr>
            <w:r>
              <w:rPr>
                <w:szCs w:val="24"/>
                <w:lang w:val="en-GB" w:eastAsia="en-GB"/>
              </w:rPr>
              <w:t>4</w:t>
            </w:r>
            <w:r w:rsidR="00272772" w:rsidRPr="00C603A9">
              <w:rPr>
                <w:szCs w:val="24"/>
                <w:lang w:val="en-GB" w:eastAsia="en-GB"/>
              </w:rPr>
              <w:t>.</w:t>
            </w:r>
            <w:r>
              <w:rPr>
                <w:szCs w:val="24"/>
                <w:lang w:val="en-GB" w:eastAsia="en-GB"/>
              </w:rPr>
              <w:t>1</w:t>
            </w:r>
            <w:r w:rsidR="00272772" w:rsidRPr="00C603A9">
              <w:rPr>
                <w:szCs w:val="24"/>
                <w:lang w:val="en-GB" w:eastAsia="en-GB"/>
              </w:rPr>
              <w:t xml:space="preserve">  Data Accuracy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16"/>
              <w:jc w:val="left"/>
              <w:rPr>
                <w:szCs w:val="24"/>
                <w:rtl/>
                <w:lang w:val="en-GB" w:eastAsia="en-GB"/>
              </w:rPr>
            </w:pPr>
          </w:p>
        </w:tc>
        <w:tc>
          <w:tcPr>
            <w:tcW w:w="6470" w:type="dxa"/>
            <w:vAlign w:val="center"/>
          </w:tcPr>
          <w:p w:rsidR="00272772" w:rsidRPr="00C603A9" w:rsidRDefault="00195ADD" w:rsidP="00195ADD">
            <w:pPr>
              <w:pStyle w:val="Heading1"/>
              <w:ind w:left="-16"/>
              <w:jc w:val="left"/>
              <w:rPr>
                <w:szCs w:val="24"/>
                <w:lang w:val="en-GB" w:eastAsia="en-GB"/>
              </w:rPr>
            </w:pPr>
            <w:r>
              <w:rPr>
                <w:szCs w:val="24"/>
                <w:lang w:val="en-GB" w:eastAsia="en-GB"/>
              </w:rPr>
              <w:t>4</w:t>
            </w:r>
            <w:r w:rsidR="00272772" w:rsidRPr="00C603A9">
              <w:rPr>
                <w:szCs w:val="24"/>
                <w:lang w:val="en-GB" w:eastAsia="en-GB"/>
              </w:rPr>
              <w:t>.</w:t>
            </w:r>
            <w:r>
              <w:rPr>
                <w:szCs w:val="24"/>
                <w:lang w:val="en-GB" w:eastAsia="en-GB"/>
              </w:rPr>
              <w:t>2</w:t>
            </w:r>
            <w:r w:rsidR="00272772" w:rsidRPr="00C603A9">
              <w:rPr>
                <w:szCs w:val="24"/>
                <w:lang w:val="en-GB" w:eastAsia="en-GB"/>
              </w:rPr>
              <w:t xml:space="preserve">  </w:t>
            </w:r>
            <w:r w:rsidR="00272772">
              <w:rPr>
                <w:szCs w:val="24"/>
                <w:lang w:val="en-GB" w:eastAsia="en-GB"/>
              </w:rPr>
              <w:t>Comparability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3916F1">
            <w:pPr>
              <w:pStyle w:val="Heading8"/>
              <w:rPr>
                <w:rFonts w:cs="Simplified Arabic"/>
                <w:snapToGrid/>
                <w:szCs w:val="24"/>
              </w:rPr>
            </w:pPr>
          </w:p>
        </w:tc>
        <w:tc>
          <w:tcPr>
            <w:tcW w:w="6470" w:type="dxa"/>
            <w:vAlign w:val="center"/>
          </w:tcPr>
          <w:p w:rsidR="00272772" w:rsidRPr="00C603A9" w:rsidRDefault="00272772" w:rsidP="003916F1">
            <w:pPr>
              <w:pStyle w:val="Heading1"/>
              <w:ind w:left="-16"/>
              <w:jc w:val="left"/>
              <w:rPr>
                <w:b/>
                <w:bCs/>
                <w:szCs w:val="24"/>
              </w:rPr>
            </w:pPr>
            <w:r w:rsidRPr="00C603A9">
              <w:rPr>
                <w:b/>
                <w:bCs/>
                <w:szCs w:val="24"/>
              </w:rPr>
              <w:t>References</w:t>
            </w:r>
          </w:p>
        </w:tc>
        <w:tc>
          <w:tcPr>
            <w:tcW w:w="880" w:type="dxa"/>
            <w:vAlign w:val="center"/>
          </w:tcPr>
          <w:p w:rsidR="00272772" w:rsidRPr="00C603A9" w:rsidRDefault="00272772" w:rsidP="00D3566E">
            <w:pPr>
              <w:pStyle w:val="Heading1"/>
              <w:jc w:val="center"/>
              <w:rPr>
                <w:b/>
                <w:bCs/>
                <w:szCs w:val="24"/>
              </w:rPr>
            </w:pPr>
            <w:r w:rsidRPr="00C603A9">
              <w:rPr>
                <w:b/>
                <w:bCs/>
                <w:szCs w:val="24"/>
              </w:rPr>
              <w:t>[</w:t>
            </w:r>
            <w:r>
              <w:rPr>
                <w:b/>
                <w:bCs/>
                <w:szCs w:val="24"/>
              </w:rPr>
              <w:t>27</w:t>
            </w:r>
            <w:r w:rsidRPr="00C603A9">
              <w:rPr>
                <w:b/>
                <w:bCs/>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911D6E">
            <w:pPr>
              <w:pStyle w:val="Heading1"/>
              <w:ind w:left="-16"/>
              <w:jc w:val="left"/>
              <w:rPr>
                <w:b/>
                <w:bCs/>
                <w:szCs w:val="24"/>
              </w:rPr>
            </w:pPr>
          </w:p>
        </w:tc>
        <w:tc>
          <w:tcPr>
            <w:tcW w:w="6470" w:type="dxa"/>
            <w:vAlign w:val="center"/>
          </w:tcPr>
          <w:p w:rsidR="00272772" w:rsidRPr="00C603A9" w:rsidRDefault="00272772" w:rsidP="003916F1">
            <w:pPr>
              <w:pStyle w:val="Heading1"/>
              <w:ind w:left="-16"/>
              <w:jc w:val="left"/>
              <w:rPr>
                <w:b/>
                <w:bCs/>
                <w:szCs w:val="24"/>
              </w:rPr>
            </w:pPr>
            <w:r>
              <w:rPr>
                <w:b/>
                <w:bCs/>
                <w:szCs w:val="24"/>
              </w:rPr>
              <w:t xml:space="preserve">Statistical </w:t>
            </w:r>
            <w:r w:rsidRPr="00C603A9">
              <w:rPr>
                <w:b/>
                <w:bCs/>
                <w:szCs w:val="24"/>
              </w:rPr>
              <w:t xml:space="preserve">Tables </w:t>
            </w:r>
          </w:p>
        </w:tc>
        <w:tc>
          <w:tcPr>
            <w:tcW w:w="880" w:type="dxa"/>
            <w:vAlign w:val="center"/>
          </w:tcPr>
          <w:p w:rsidR="00272772" w:rsidRPr="00C603A9" w:rsidRDefault="00272772" w:rsidP="00A7565D">
            <w:pPr>
              <w:pStyle w:val="Heading1"/>
              <w:jc w:val="center"/>
              <w:rPr>
                <w:b/>
                <w:bCs/>
                <w:szCs w:val="24"/>
              </w:rPr>
            </w:pPr>
            <w:r w:rsidRPr="00C603A9">
              <w:rPr>
                <w:b/>
                <w:bCs/>
                <w:szCs w:val="24"/>
                <w:lang w:val="en-GB"/>
              </w:rPr>
              <w:t>45</w:t>
            </w:r>
          </w:p>
        </w:tc>
      </w:tr>
    </w:tbl>
    <w:p w:rsidR="000658F1" w:rsidRPr="00C603A9" w:rsidRDefault="000658F1" w:rsidP="00911D6E">
      <w:pPr>
        <w:pStyle w:val="Heading1"/>
        <w:ind w:left="-16"/>
        <w:jc w:val="left"/>
        <w:rPr>
          <w:b/>
          <w:bCs/>
          <w:szCs w:val="24"/>
        </w:rPr>
      </w:pPr>
    </w:p>
    <w:p w:rsidR="000658F1" w:rsidRPr="00C603A9" w:rsidRDefault="000658F1" w:rsidP="000658F1">
      <w:pPr>
        <w:pStyle w:val="Heading1"/>
      </w:pPr>
      <w:r w:rsidRPr="00C603A9">
        <w:br w:type="page"/>
      </w:r>
    </w:p>
    <w:p w:rsidR="000658F1" w:rsidRPr="00C603A9" w:rsidRDefault="000658F1" w:rsidP="000658F1">
      <w:pPr>
        <w:jc w:val="center"/>
        <w:rPr>
          <w:b/>
          <w:bCs/>
          <w:szCs w:val="24"/>
        </w:rPr>
      </w:pPr>
      <w:r w:rsidRPr="00C603A9">
        <w:rPr>
          <w:b/>
          <w:bCs/>
          <w:szCs w:val="24"/>
        </w:rPr>
        <w:t xml:space="preserve"> </w:t>
      </w:r>
    </w:p>
    <w:p w:rsidR="001A3F81" w:rsidRPr="00C603A9" w:rsidRDefault="000658F1" w:rsidP="001A3F81">
      <w:pPr>
        <w:pStyle w:val="Heading1"/>
        <w:jc w:val="center"/>
        <w:rPr>
          <w:b/>
          <w:bCs/>
          <w:sz w:val="28"/>
          <w:szCs w:val="28"/>
        </w:rPr>
      </w:pPr>
      <w:r w:rsidRPr="00C603A9">
        <w:rPr>
          <w:b/>
          <w:bCs/>
          <w:szCs w:val="24"/>
        </w:rPr>
        <w:br w:type="page"/>
      </w:r>
      <w:r w:rsidR="001A3F81" w:rsidRPr="00C603A9">
        <w:rPr>
          <w:b/>
          <w:bCs/>
          <w:sz w:val="28"/>
          <w:szCs w:val="28"/>
        </w:rPr>
        <w:t>List of Tables</w:t>
      </w:r>
    </w:p>
    <w:p w:rsidR="001A3F81" w:rsidRPr="000B7819" w:rsidRDefault="001A3F81" w:rsidP="001A3F81">
      <w:pPr>
        <w:rPr>
          <w:sz w:val="24"/>
          <w:szCs w:val="24"/>
        </w:rPr>
      </w:pPr>
    </w:p>
    <w:tbl>
      <w:tblPr>
        <w:tblW w:w="0" w:type="auto"/>
        <w:jc w:val="center"/>
        <w:tblLook w:val="0000" w:firstRow="0" w:lastRow="0" w:firstColumn="0" w:lastColumn="0" w:noHBand="0" w:noVBand="0"/>
      </w:tblPr>
      <w:tblGrid>
        <w:gridCol w:w="1224"/>
        <w:gridCol w:w="7003"/>
        <w:gridCol w:w="846"/>
      </w:tblGrid>
      <w:tr w:rsidR="001A3F81" w:rsidRPr="00C603A9" w:rsidTr="00695FB3">
        <w:trPr>
          <w:tblHeader/>
          <w:jc w:val="center"/>
        </w:trPr>
        <w:tc>
          <w:tcPr>
            <w:tcW w:w="1238" w:type="dxa"/>
          </w:tcPr>
          <w:p w:rsidR="001A3F81" w:rsidRPr="00C603A9" w:rsidRDefault="001A3F81" w:rsidP="003916F1">
            <w:pPr>
              <w:pStyle w:val="Heading2"/>
              <w:spacing w:before="100" w:beforeAutospacing="1"/>
              <w:jc w:val="left"/>
              <w:rPr>
                <w:b/>
                <w:bCs/>
              </w:rPr>
            </w:pPr>
            <w:r w:rsidRPr="00C603A9">
              <w:rPr>
                <w:b/>
                <w:bCs/>
              </w:rPr>
              <w:t>Table</w:t>
            </w:r>
          </w:p>
        </w:tc>
        <w:tc>
          <w:tcPr>
            <w:tcW w:w="7179" w:type="dxa"/>
          </w:tcPr>
          <w:p w:rsidR="001A3F81" w:rsidRPr="00C603A9" w:rsidRDefault="001A3F81" w:rsidP="003916F1">
            <w:pPr>
              <w:spacing w:before="100" w:beforeAutospacing="1"/>
              <w:jc w:val="lowKashida"/>
              <w:rPr>
                <w:rFonts w:cs="Times New Roman"/>
                <w:b/>
                <w:bCs/>
                <w:sz w:val="24"/>
                <w:szCs w:val="24"/>
              </w:rPr>
            </w:pPr>
          </w:p>
        </w:tc>
        <w:tc>
          <w:tcPr>
            <w:tcW w:w="850" w:type="dxa"/>
          </w:tcPr>
          <w:p w:rsidR="001A3F81" w:rsidRPr="00C603A9" w:rsidRDefault="001A3F81" w:rsidP="003916F1">
            <w:pPr>
              <w:pStyle w:val="Heading1"/>
              <w:spacing w:before="100" w:beforeAutospacing="1"/>
              <w:jc w:val="center"/>
              <w:rPr>
                <w:rFonts w:cs="Times New Roman"/>
                <w:b/>
                <w:bCs/>
                <w:szCs w:val="24"/>
                <w:rtl/>
                <w:lang w:val="en-GB"/>
              </w:rPr>
            </w:pPr>
            <w:r w:rsidRPr="00C603A9">
              <w:rPr>
                <w:rFonts w:cs="Times New Roman"/>
                <w:b/>
                <w:bCs/>
                <w:szCs w:val="24"/>
                <w:lang w:val="en-GB"/>
              </w:rPr>
              <w:t>Page</w:t>
            </w:r>
          </w:p>
        </w:tc>
      </w:tr>
      <w:tr w:rsidR="001A3F81" w:rsidRPr="00C603A9" w:rsidTr="00695FB3">
        <w:trPr>
          <w:trHeight w:hRule="exact" w:val="113"/>
          <w:tblHeader/>
          <w:jc w:val="center"/>
        </w:trPr>
        <w:tc>
          <w:tcPr>
            <w:tcW w:w="1238" w:type="dxa"/>
          </w:tcPr>
          <w:p w:rsidR="001A3F81" w:rsidRPr="00C603A9" w:rsidRDefault="001A3F81" w:rsidP="003916F1">
            <w:pPr>
              <w:spacing w:before="100" w:beforeAutospacing="1"/>
              <w:jc w:val="lowKashida"/>
              <w:rPr>
                <w:rFonts w:cs="Times New Roman"/>
                <w:b/>
                <w:bCs/>
                <w:sz w:val="24"/>
                <w:szCs w:val="24"/>
              </w:rPr>
            </w:pPr>
          </w:p>
        </w:tc>
        <w:tc>
          <w:tcPr>
            <w:tcW w:w="7179" w:type="dxa"/>
          </w:tcPr>
          <w:p w:rsidR="001A3F81" w:rsidRPr="00C603A9" w:rsidRDefault="001A3F81" w:rsidP="003916F1">
            <w:pPr>
              <w:spacing w:before="100" w:beforeAutospacing="1"/>
              <w:jc w:val="lowKashida"/>
              <w:rPr>
                <w:rFonts w:cs="Times New Roman"/>
                <w:sz w:val="24"/>
                <w:szCs w:val="24"/>
              </w:rPr>
            </w:pPr>
          </w:p>
        </w:tc>
        <w:tc>
          <w:tcPr>
            <w:tcW w:w="850" w:type="dxa"/>
          </w:tcPr>
          <w:p w:rsidR="001A3F81" w:rsidRPr="00C603A9" w:rsidRDefault="001A3F81" w:rsidP="003916F1">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257743">
            <w:pPr>
              <w:spacing w:before="100" w:beforeAutospacing="1"/>
              <w:jc w:val="lowKashida"/>
              <w:rPr>
                <w:rFonts w:cs="Times New Roman"/>
                <w:b/>
                <w:bCs/>
                <w:sz w:val="24"/>
                <w:szCs w:val="24"/>
              </w:rPr>
            </w:pPr>
            <w:r w:rsidRPr="00C603A9">
              <w:rPr>
                <w:rFonts w:cs="Times New Roman"/>
                <w:b/>
                <w:bCs/>
                <w:sz w:val="24"/>
                <w:szCs w:val="24"/>
              </w:rPr>
              <w:t xml:space="preserve">Table 1:  </w:t>
            </w:r>
          </w:p>
        </w:tc>
        <w:tc>
          <w:tcPr>
            <w:tcW w:w="7179" w:type="dxa"/>
          </w:tcPr>
          <w:p w:rsidR="00972AA9" w:rsidRPr="00C603A9" w:rsidRDefault="00972AA9" w:rsidP="00600181">
            <w:pPr>
              <w:spacing w:before="100" w:beforeAutospacing="1"/>
              <w:jc w:val="lowKashida"/>
              <w:rPr>
                <w:rFonts w:cs="Times New Roman"/>
                <w:sz w:val="24"/>
                <w:szCs w:val="24"/>
              </w:rPr>
            </w:pPr>
            <w:r w:rsidRPr="00C603A9">
              <w:rPr>
                <w:rFonts w:cs="Times New Roman"/>
                <w:sz w:val="24"/>
                <w:szCs w:val="24"/>
              </w:rPr>
              <w:t xml:space="preserve">Selected Indicators </w:t>
            </w:r>
            <w:r w:rsidR="00600181">
              <w:rPr>
                <w:rFonts w:cs="Times New Roman"/>
                <w:sz w:val="24"/>
                <w:szCs w:val="24"/>
              </w:rPr>
              <w:t>on</w:t>
            </w:r>
            <w:r w:rsidRPr="00C603A9">
              <w:rPr>
                <w:rFonts w:cs="Times New Roman"/>
                <w:sz w:val="24"/>
                <w:szCs w:val="24"/>
              </w:rPr>
              <w:t xml:space="preserve"> Occupation Sites in the West Bank</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47</w:t>
            </w:r>
          </w:p>
        </w:tc>
      </w:tr>
      <w:tr w:rsidR="00972AA9" w:rsidRPr="00C603A9" w:rsidTr="00972AA9">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11175A">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  </w:t>
            </w:r>
          </w:p>
        </w:tc>
        <w:tc>
          <w:tcPr>
            <w:tcW w:w="7179" w:type="dxa"/>
          </w:tcPr>
          <w:p w:rsidR="00972AA9" w:rsidRPr="00595E20" w:rsidRDefault="00972AA9" w:rsidP="00706476">
            <w:pPr>
              <w:spacing w:before="100" w:beforeAutospacing="1"/>
              <w:jc w:val="lowKashida"/>
              <w:rPr>
                <w:rFonts w:cs="Times New Roman"/>
                <w:sz w:val="24"/>
                <w:szCs w:val="24"/>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Classification,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3: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Classification,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4: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and Palestinian Population in the West </w:t>
            </w:r>
            <w:r w:rsidR="00E32DF2">
              <w:rPr>
                <w:rFonts w:cs="Times New Roman"/>
                <w:sz w:val="24"/>
                <w:szCs w:val="24"/>
              </w:rPr>
              <w:t>Bank by</w:t>
            </w:r>
            <w:r w:rsidRPr="00C603A9">
              <w:rPr>
                <w:rFonts w:cs="Times New Roman"/>
                <w:sz w:val="24"/>
                <w:szCs w:val="24"/>
              </w:rPr>
              <w:t xml:space="preserve"> Governorate,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5: </w:t>
            </w:r>
          </w:p>
        </w:tc>
        <w:tc>
          <w:tcPr>
            <w:tcW w:w="7179" w:type="dxa"/>
          </w:tcPr>
          <w:p w:rsidR="00972AA9" w:rsidRPr="00C603A9" w:rsidRDefault="00972AA9" w:rsidP="00EC6592">
            <w:pPr>
              <w:spacing w:before="100" w:beforeAutospacing="1"/>
              <w:jc w:val="lowKashida"/>
              <w:rPr>
                <w:rFonts w:cs="Times New Roman"/>
                <w:sz w:val="24"/>
                <w:szCs w:val="24"/>
                <w:rtl/>
                <w:lang w:val="en-GB"/>
              </w:rPr>
            </w:pPr>
            <w:r w:rsidRPr="00C603A9">
              <w:rPr>
                <w:rFonts w:cs="Times New Roman"/>
                <w:sz w:val="24"/>
                <w:szCs w:val="24"/>
              </w:rPr>
              <w:t xml:space="preserve">Number of </w:t>
            </w:r>
            <w:r w:rsidR="003B4725" w:rsidRPr="003E046E">
              <w:rPr>
                <w:rFonts w:cs="Times New Roman"/>
                <w:sz w:val="24"/>
                <w:szCs w:val="24"/>
              </w:rPr>
              <w:t>Israeli</w:t>
            </w:r>
            <w:r w:rsidR="003B4725" w:rsidRPr="00C603A9">
              <w:rPr>
                <w:b/>
                <w:bCs/>
                <w:sz w:val="40"/>
                <w:szCs w:val="40"/>
              </w:rPr>
              <w:t xml:space="preserve"> </w:t>
            </w:r>
            <w:r w:rsidR="003B4725" w:rsidRPr="00C603A9">
              <w:rPr>
                <w:rFonts w:cs="Times New Roman"/>
                <w:sz w:val="24"/>
                <w:szCs w:val="24"/>
              </w:rPr>
              <w:t xml:space="preserve">Settlements </w:t>
            </w:r>
            <w:r w:rsidRPr="00C603A9">
              <w:rPr>
                <w:rFonts w:cs="Times New Roman"/>
                <w:sz w:val="24"/>
                <w:szCs w:val="24"/>
              </w:rPr>
              <w:t xml:space="preserve">in the West </w:t>
            </w:r>
            <w:r w:rsidR="00E32DF2">
              <w:rPr>
                <w:rFonts w:cs="Times New Roman"/>
                <w:sz w:val="24"/>
                <w:szCs w:val="24"/>
              </w:rPr>
              <w:t>Bank by</w:t>
            </w:r>
            <w:r w:rsidRPr="00C603A9">
              <w:rPr>
                <w:rFonts w:cs="Times New Roman"/>
                <w:sz w:val="24"/>
                <w:szCs w:val="24"/>
              </w:rPr>
              <w:t xml:space="preserve"> Year of Establishment</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51</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6: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Region, 1986-</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7: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8: </w:t>
            </w:r>
          </w:p>
        </w:tc>
        <w:tc>
          <w:tcPr>
            <w:tcW w:w="7179" w:type="dxa"/>
          </w:tcPr>
          <w:p w:rsidR="00972AA9" w:rsidRPr="00C603A9" w:rsidRDefault="00972AA9" w:rsidP="00706476">
            <w:pPr>
              <w:spacing w:before="100" w:beforeAutospacing="1"/>
              <w:jc w:val="lowKashida"/>
              <w:rPr>
                <w:rFonts w:cs="Times New Roman"/>
                <w:sz w:val="24"/>
                <w:szCs w:val="24"/>
                <w:rtl/>
                <w:lang w:val="en-GB"/>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9: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Type of Settlement,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10: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Type of Settlement,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56</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11: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Urban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Population </w:t>
            </w:r>
            <w:r w:rsidR="0034215B" w:rsidRPr="00C603A9">
              <w:rPr>
                <w:rFonts w:cs="Times New Roman"/>
                <w:sz w:val="24"/>
                <w:szCs w:val="24"/>
              </w:rPr>
              <w:t xml:space="preserve">Size </w:t>
            </w:r>
            <w:r w:rsidRPr="00C603A9">
              <w:rPr>
                <w:rFonts w:cs="Times New Roman"/>
                <w:sz w:val="24"/>
                <w:szCs w:val="24"/>
              </w:rPr>
              <w:t>Group</w:t>
            </w:r>
            <w:r w:rsidR="0034215B">
              <w:rPr>
                <w:rFonts w:cs="Times New Roman"/>
                <w:sz w:val="24"/>
                <w:szCs w:val="24"/>
              </w:rPr>
              <w:t>s</w:t>
            </w:r>
            <w:r w:rsidRPr="00C603A9">
              <w:rPr>
                <w:rFonts w:cs="Times New Roman"/>
                <w:sz w:val="24"/>
                <w:szCs w:val="24"/>
              </w:rPr>
              <w:t xml:space="preserve">,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12: </w:t>
            </w:r>
          </w:p>
        </w:tc>
        <w:tc>
          <w:tcPr>
            <w:tcW w:w="7179" w:type="dxa"/>
          </w:tcPr>
          <w:p w:rsidR="00972AA9" w:rsidRPr="00C603A9" w:rsidRDefault="00972AA9" w:rsidP="00706476">
            <w:pPr>
              <w:spacing w:before="100" w:beforeAutospacing="1"/>
              <w:jc w:val="lowKashida"/>
              <w:rPr>
                <w:rFonts w:cs="Times New Roman"/>
                <w:sz w:val="24"/>
                <w:szCs w:val="24"/>
                <w:rtl/>
                <w:lang w:val="en-GB"/>
              </w:rPr>
            </w:pPr>
            <w:r w:rsidRPr="00C603A9">
              <w:rPr>
                <w:rFonts w:cs="Times New Roman"/>
                <w:sz w:val="24"/>
                <w:szCs w:val="24"/>
              </w:rPr>
              <w:t xml:space="preserve">Number of Settlers in the Urban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Governorate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13: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Settlements in the W</w:t>
            </w:r>
            <w:r w:rsidR="00A2380C">
              <w:rPr>
                <w:rFonts w:cs="Times New Roman"/>
                <w:sz w:val="24"/>
                <w:szCs w:val="24"/>
              </w:rPr>
              <w:t xml:space="preserve">est </w:t>
            </w:r>
            <w:r w:rsidR="00E32DF2">
              <w:rPr>
                <w:rFonts w:cs="Times New Roman"/>
                <w:sz w:val="24"/>
                <w:szCs w:val="24"/>
              </w:rPr>
              <w:t>Bank by</w:t>
            </w:r>
            <w:r w:rsidR="00A2380C">
              <w:rPr>
                <w:rFonts w:cs="Times New Roman"/>
                <w:sz w:val="24"/>
                <w:szCs w:val="24"/>
              </w:rPr>
              <w:t xml:space="preserve"> Type of Settlement</w:t>
            </w:r>
            <w:r w:rsidRPr="00C603A9">
              <w:rPr>
                <w:rFonts w:cs="Times New Roman"/>
                <w:sz w:val="24"/>
                <w:szCs w:val="24"/>
              </w:rPr>
              <w:t xml:space="preserve">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59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14: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Type of Settlements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Pr>
            </w:pPr>
            <w:r w:rsidRPr="00C603A9">
              <w:rPr>
                <w:rFonts w:cs="Times New Roman"/>
                <w:b/>
                <w:bCs/>
                <w:sz w:val="24"/>
                <w:szCs w:val="24"/>
              </w:rPr>
              <w:t>Table 15:</w:t>
            </w:r>
          </w:p>
        </w:tc>
        <w:tc>
          <w:tcPr>
            <w:tcW w:w="7179" w:type="dxa"/>
          </w:tcPr>
          <w:p w:rsidR="00972AA9" w:rsidRPr="00C603A9" w:rsidRDefault="00972AA9" w:rsidP="00706476">
            <w:pPr>
              <w:spacing w:before="100" w:beforeAutospacing="1"/>
              <w:jc w:val="lowKashida"/>
              <w:rPr>
                <w:rFonts w:cs="Times New Roman"/>
                <w:sz w:val="24"/>
                <w:szCs w:val="24"/>
                <w:rtl/>
                <w:lang w:val="en-GB"/>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Regional Council,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61</w:t>
            </w: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16: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Regional Council,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17: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18: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19: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20: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66</w:t>
            </w: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21: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22: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23: </w:t>
            </w:r>
          </w:p>
        </w:tc>
        <w:tc>
          <w:tcPr>
            <w:tcW w:w="7179" w:type="dxa"/>
          </w:tcPr>
          <w:p w:rsidR="00972AA9" w:rsidRPr="000D61D3" w:rsidRDefault="00972AA9" w:rsidP="00706476">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706476">
              <w:rPr>
                <w:rFonts w:cs="Times New Roman"/>
                <w:sz w:val="24"/>
                <w:szCs w:val="24"/>
              </w:rPr>
              <w:t>2020</w:t>
            </w:r>
          </w:p>
        </w:tc>
        <w:tc>
          <w:tcPr>
            <w:tcW w:w="850" w:type="dxa"/>
          </w:tcPr>
          <w:p w:rsidR="00972AA9" w:rsidRPr="00C603A9" w:rsidRDefault="00972AA9" w:rsidP="00C93368">
            <w:pPr>
              <w:spacing w:before="100" w:beforeAutospacing="1"/>
              <w:jc w:val="center"/>
              <w:rPr>
                <w:rFonts w:cs="Times New Roman"/>
                <w:b/>
                <w:bCs/>
                <w:sz w:val="24"/>
                <w:szCs w:val="24"/>
                <w:rtl/>
              </w:rPr>
            </w:pPr>
            <w:r w:rsidRPr="00C603A9">
              <w:rPr>
                <w:rFonts w:cs="Times New Roman"/>
                <w:b/>
                <w:bCs/>
                <w:sz w:val="24"/>
                <w:szCs w:val="24"/>
              </w:rPr>
              <w:t>69</w:t>
            </w:r>
          </w:p>
        </w:tc>
      </w:tr>
      <w:tr w:rsidR="00257743" w:rsidRPr="00C603A9" w:rsidTr="00667550">
        <w:trPr>
          <w:trHeight w:hRule="exact" w:val="113"/>
          <w:jc w:val="center"/>
        </w:trPr>
        <w:tc>
          <w:tcPr>
            <w:tcW w:w="1238" w:type="dxa"/>
          </w:tcPr>
          <w:p w:rsidR="00257743" w:rsidRPr="00C603A9" w:rsidRDefault="00257743" w:rsidP="00EA1CDB">
            <w:pPr>
              <w:spacing w:before="100" w:beforeAutospacing="1"/>
              <w:jc w:val="lowKashida"/>
              <w:rPr>
                <w:rFonts w:cs="Times New Roman"/>
                <w:b/>
                <w:bCs/>
                <w:sz w:val="24"/>
                <w:szCs w:val="24"/>
                <w:rtl/>
                <w:lang w:val="en-GB"/>
              </w:rPr>
            </w:pPr>
          </w:p>
        </w:tc>
        <w:tc>
          <w:tcPr>
            <w:tcW w:w="7179" w:type="dxa"/>
          </w:tcPr>
          <w:p w:rsidR="00257743" w:rsidRPr="00C603A9" w:rsidRDefault="00257743" w:rsidP="003916F1">
            <w:pPr>
              <w:spacing w:before="100" w:beforeAutospacing="1"/>
              <w:jc w:val="lowKashida"/>
              <w:rPr>
                <w:rFonts w:cs="Times New Roman"/>
                <w:sz w:val="24"/>
                <w:szCs w:val="24"/>
              </w:rPr>
            </w:pPr>
          </w:p>
        </w:tc>
        <w:tc>
          <w:tcPr>
            <w:tcW w:w="850" w:type="dxa"/>
          </w:tcPr>
          <w:p w:rsidR="00257743" w:rsidRPr="00C603A9" w:rsidRDefault="00257743" w:rsidP="00D32F7C">
            <w:pPr>
              <w:spacing w:before="100" w:beforeAutospacing="1"/>
              <w:jc w:val="center"/>
              <w:rPr>
                <w:rFonts w:cs="Times New Roman"/>
                <w:b/>
                <w:bCs/>
                <w:sz w:val="24"/>
                <w:szCs w:val="24"/>
                <w:lang w:val="en-GB"/>
              </w:rPr>
            </w:pPr>
          </w:p>
        </w:tc>
      </w:tr>
      <w:tr w:rsidR="00257743" w:rsidRPr="00C603A9" w:rsidTr="00667550">
        <w:trPr>
          <w:jc w:val="center"/>
        </w:trPr>
        <w:tc>
          <w:tcPr>
            <w:tcW w:w="1238" w:type="dxa"/>
          </w:tcPr>
          <w:p w:rsidR="00257743" w:rsidRPr="00C603A9" w:rsidRDefault="00257743" w:rsidP="00257743">
            <w:pPr>
              <w:spacing w:before="100" w:beforeAutospacing="1"/>
              <w:jc w:val="lowKashida"/>
              <w:rPr>
                <w:rFonts w:cs="Times New Roman"/>
                <w:b/>
                <w:bCs/>
                <w:sz w:val="24"/>
                <w:szCs w:val="24"/>
              </w:rPr>
            </w:pPr>
            <w:r w:rsidRPr="00C603A9">
              <w:rPr>
                <w:rFonts w:cs="Times New Roman"/>
                <w:b/>
                <w:bCs/>
                <w:sz w:val="24"/>
                <w:szCs w:val="24"/>
              </w:rPr>
              <w:t xml:space="preserve">Table 24:  </w:t>
            </w:r>
          </w:p>
        </w:tc>
        <w:tc>
          <w:tcPr>
            <w:tcW w:w="7179" w:type="dxa"/>
          </w:tcPr>
          <w:p w:rsidR="00257743" w:rsidRPr="000D61D3" w:rsidRDefault="00257743" w:rsidP="00706476">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706476">
              <w:rPr>
                <w:rFonts w:cs="Times New Roman"/>
                <w:sz w:val="24"/>
                <w:szCs w:val="24"/>
              </w:rPr>
              <w:t>2020</w:t>
            </w:r>
          </w:p>
        </w:tc>
        <w:tc>
          <w:tcPr>
            <w:tcW w:w="850" w:type="dxa"/>
          </w:tcPr>
          <w:p w:rsidR="00257743" w:rsidRPr="00C603A9" w:rsidRDefault="00972AA9" w:rsidP="00D32F7C">
            <w:pPr>
              <w:spacing w:before="100" w:beforeAutospacing="1"/>
              <w:jc w:val="center"/>
              <w:rPr>
                <w:rFonts w:cs="Times New Roman"/>
                <w:b/>
                <w:bCs/>
                <w:sz w:val="24"/>
                <w:szCs w:val="24"/>
                <w:rtl/>
              </w:rPr>
            </w:pPr>
            <w:r w:rsidRPr="00C603A9">
              <w:rPr>
                <w:rFonts w:cs="Times New Roman"/>
                <w:b/>
                <w:bCs/>
                <w:sz w:val="24"/>
                <w:szCs w:val="24"/>
              </w:rPr>
              <w:t>70</w:t>
            </w:r>
          </w:p>
        </w:tc>
      </w:tr>
    </w:tbl>
    <w:p w:rsidR="001A3F81" w:rsidRPr="00C603A9" w:rsidRDefault="001A3F81" w:rsidP="001A3F81">
      <w:pPr>
        <w:rPr>
          <w:sz w:val="24"/>
          <w:szCs w:val="24"/>
        </w:rPr>
      </w:pPr>
    </w:p>
    <w:p w:rsidR="00BE6D28" w:rsidRPr="00C603A9" w:rsidRDefault="001A3F81" w:rsidP="00BE6D28">
      <w:pPr>
        <w:jc w:val="lowKashida"/>
        <w:rPr>
          <w:b/>
          <w:bCs/>
          <w:sz w:val="28"/>
          <w:szCs w:val="32"/>
        </w:rPr>
      </w:pPr>
      <w:r w:rsidRPr="00C603A9">
        <w:rPr>
          <w:b/>
          <w:bCs/>
        </w:rPr>
        <w:br w:type="page"/>
      </w:r>
      <w:r w:rsidR="00BE6D28" w:rsidRPr="00C603A9">
        <w:rPr>
          <w:b/>
          <w:bCs/>
          <w:sz w:val="28"/>
          <w:szCs w:val="32"/>
        </w:rPr>
        <w:t>Introduction</w:t>
      </w:r>
    </w:p>
    <w:p w:rsidR="00BE6D28" w:rsidRPr="00C603A9" w:rsidRDefault="00BE6D28" w:rsidP="00BE6D28">
      <w:pPr>
        <w:pStyle w:val="BodyText"/>
        <w:jc w:val="center"/>
        <w:rPr>
          <w:sz w:val="28"/>
          <w:szCs w:val="24"/>
        </w:rPr>
      </w:pPr>
    </w:p>
    <w:p w:rsidR="00BE6D28" w:rsidRPr="00C603A9" w:rsidRDefault="00BE6D28" w:rsidP="00BE6D28">
      <w:pPr>
        <w:pStyle w:val="BodyText2"/>
      </w:pPr>
      <w:r w:rsidRPr="00C603A9">
        <w:t>Israeli settlement</w:t>
      </w:r>
      <w:r>
        <w:t>s</w:t>
      </w:r>
      <w:r w:rsidRPr="00C603A9">
        <w:t xml:space="preserve"> activities in Palestine constitute the most serious danger of the Israeli occupation and hampers the establishment of a viable national state of Palestine in the West Bank and Gaza Strip. With support from the Israeli government, many Israeli organizations and institutions are working on the implementation of an organized program that aims to expand the settlements in Palestine. Indeed, the settlements network and the accompanying changes in demographical and topographical aspects are the main obstacle to establish a state of Palestine with geographical continuity.</w:t>
      </w:r>
    </w:p>
    <w:p w:rsidR="00BE6D28" w:rsidRPr="00C603A9" w:rsidRDefault="00BE6D28" w:rsidP="00BE6D28">
      <w:pPr>
        <w:pStyle w:val="BodyText2"/>
      </w:pPr>
    </w:p>
    <w:p w:rsidR="00BE6D28" w:rsidRPr="00C603A9" w:rsidRDefault="00BE6D28" w:rsidP="00BE6D28">
      <w:pPr>
        <w:pStyle w:val="BodyText2"/>
      </w:pPr>
      <w:r w:rsidRPr="00C603A9">
        <w:t>The Israeli settlement</w:t>
      </w:r>
      <w:r>
        <w:t>s</w:t>
      </w:r>
      <w:r w:rsidRPr="00C603A9">
        <w:t xml:space="preserve"> movement </w:t>
      </w:r>
      <w:r>
        <w:t xml:space="preserve">does </w:t>
      </w:r>
      <w:r w:rsidRPr="00C603A9">
        <w:t xml:space="preserve">not only affect the political stability and security in Palestine. It also destroys the social, economic, and environmental balance of Palestinian society and land by hampering the development of Palestinian society, polluting the Palestinian environment, and playing a significant role in controlling, destroying and cantonizing Palestinian communities. Moreover, Israeli settlements are used as military bases to launch aggression, incursions and hostilities against the Palestinian people. </w:t>
      </w:r>
    </w:p>
    <w:p w:rsidR="00BE6D28" w:rsidRPr="00C603A9" w:rsidRDefault="00BE6D28" w:rsidP="00BE6D28">
      <w:pPr>
        <w:pStyle w:val="BodyText2"/>
      </w:pPr>
    </w:p>
    <w:p w:rsidR="00BE6D28" w:rsidRPr="00C603A9" w:rsidRDefault="00BE6D28" w:rsidP="00BE6D28">
      <w:pPr>
        <w:pStyle w:val="BodyText2"/>
      </w:pPr>
      <w:r w:rsidRPr="00C603A9">
        <w:t>We continue to publish annual reports in this series to present the main developments in Israeli settlement</w:t>
      </w:r>
      <w:r>
        <w:t>s</w:t>
      </w:r>
      <w:r w:rsidRPr="00C603A9">
        <w:t xml:space="preserve"> activities in Palestine. We have focused on presenting quantitative descriptions of a number of </w:t>
      </w:r>
      <w:r>
        <w:t xml:space="preserve">the </w:t>
      </w:r>
      <w:r w:rsidRPr="00C603A9">
        <w:t xml:space="preserve">main indicators related to settlements and settlers.  </w:t>
      </w:r>
    </w:p>
    <w:p w:rsidR="00BE6D28" w:rsidRPr="00C603A9" w:rsidRDefault="00BE6D28" w:rsidP="00BE6D28">
      <w:pPr>
        <w:pStyle w:val="BodyText2"/>
      </w:pPr>
    </w:p>
    <w:p w:rsidR="00BE6D28" w:rsidRPr="00C603A9" w:rsidRDefault="00BE6D28" w:rsidP="00BE6D28">
      <w:pPr>
        <w:pStyle w:val="BodyText2"/>
      </w:pPr>
      <w:r w:rsidRPr="00C603A9">
        <w:t xml:space="preserve">This report contains statistical data for the year </w:t>
      </w:r>
      <w:r>
        <w:t>2020 on</w:t>
      </w:r>
      <w:r w:rsidRPr="00C603A9">
        <w:t xml:space="preserve"> the population and geographical indicators of Israeli settlements in the West Bank: </w:t>
      </w:r>
      <w:r>
        <w:t>T</w:t>
      </w:r>
      <w:r w:rsidRPr="00C603A9">
        <w:t>he number of settlers, the level and nature of settlement, the geographical spread, prevalent ideology, and other related subjects.</w:t>
      </w:r>
    </w:p>
    <w:p w:rsidR="00BE6D28" w:rsidRPr="00C603A9" w:rsidRDefault="00BE6D28" w:rsidP="00BE6D28">
      <w:pPr>
        <w:pStyle w:val="BodyText2"/>
      </w:pPr>
    </w:p>
    <w:p w:rsidR="00BE6D28" w:rsidRPr="00C603A9" w:rsidRDefault="00BE6D28" w:rsidP="00BE6D28">
      <w:pPr>
        <w:jc w:val="lowKashida"/>
        <w:rPr>
          <w:sz w:val="24"/>
          <w:szCs w:val="24"/>
        </w:rPr>
      </w:pPr>
      <w:r w:rsidRPr="00C603A9">
        <w:rPr>
          <w:sz w:val="24"/>
          <w:szCs w:val="24"/>
        </w:rPr>
        <w:t xml:space="preserve">This report is divided into </w:t>
      </w:r>
      <w:r>
        <w:rPr>
          <w:sz w:val="24"/>
          <w:szCs w:val="24"/>
        </w:rPr>
        <w:t>four</w:t>
      </w:r>
      <w:r w:rsidRPr="00C603A9">
        <w:rPr>
          <w:sz w:val="24"/>
          <w:szCs w:val="24"/>
        </w:rPr>
        <w:t xml:space="preserve"> chapters: The first chapter contains the </w:t>
      </w:r>
      <w:r w:rsidRPr="008E28F7">
        <w:rPr>
          <w:sz w:val="24"/>
          <w:szCs w:val="24"/>
        </w:rPr>
        <w:t xml:space="preserve">concepts and terms </w:t>
      </w:r>
      <w:r w:rsidRPr="00C603A9">
        <w:rPr>
          <w:sz w:val="24"/>
          <w:szCs w:val="24"/>
        </w:rPr>
        <w:t>in this report. The second chapter presents the main findings</w:t>
      </w:r>
      <w:r>
        <w:rPr>
          <w:sz w:val="24"/>
          <w:szCs w:val="24"/>
        </w:rPr>
        <w:t>. T</w:t>
      </w:r>
      <w:r w:rsidRPr="00C603A9">
        <w:rPr>
          <w:sz w:val="24"/>
          <w:szCs w:val="24"/>
        </w:rPr>
        <w:t xml:space="preserve">he third chapter </w:t>
      </w:r>
      <w:r>
        <w:rPr>
          <w:sz w:val="24"/>
          <w:szCs w:val="24"/>
        </w:rPr>
        <w:t xml:space="preserve">discusses the methodology. The fourth </w:t>
      </w:r>
      <w:r w:rsidRPr="00C603A9">
        <w:rPr>
          <w:sz w:val="24"/>
          <w:szCs w:val="24"/>
        </w:rPr>
        <w:t xml:space="preserve">chapter </w:t>
      </w:r>
      <w:r>
        <w:rPr>
          <w:sz w:val="24"/>
          <w:szCs w:val="24"/>
        </w:rPr>
        <w:t xml:space="preserve">demonstrates </w:t>
      </w:r>
      <w:r w:rsidRPr="00C603A9">
        <w:rPr>
          <w:sz w:val="24"/>
          <w:szCs w:val="24"/>
        </w:rPr>
        <w:t>data quality</w:t>
      </w:r>
      <w:r>
        <w:rPr>
          <w:sz w:val="24"/>
          <w:szCs w:val="24"/>
        </w:rPr>
        <w:t>.</w:t>
      </w:r>
    </w:p>
    <w:p w:rsidR="00743E10" w:rsidRPr="00C603A9" w:rsidRDefault="00933336" w:rsidP="00BE6D28">
      <w:pPr>
        <w:pStyle w:val="BodyText"/>
        <w:jc w:val="center"/>
        <w:rPr>
          <w:szCs w:val="24"/>
        </w:rPr>
      </w:pPr>
      <w:r>
        <w:rPr>
          <w:szCs w:val="24"/>
        </w:rPr>
        <w:tab/>
      </w:r>
    </w:p>
    <w:p w:rsidR="003916F1" w:rsidRPr="00C603A9" w:rsidRDefault="003916F1">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tbl>
      <w:tblPr>
        <w:tblW w:w="9356" w:type="dxa"/>
        <w:tblInd w:w="-34" w:type="dxa"/>
        <w:tblLayout w:type="fixed"/>
        <w:tblLook w:val="0000" w:firstRow="0" w:lastRow="0" w:firstColumn="0" w:lastColumn="0" w:noHBand="0" w:noVBand="0"/>
      </w:tblPr>
      <w:tblGrid>
        <w:gridCol w:w="3129"/>
        <w:gridCol w:w="2683"/>
        <w:gridCol w:w="3544"/>
      </w:tblGrid>
      <w:tr w:rsidR="00551CFA" w:rsidRPr="00C603A9">
        <w:trPr>
          <w:cantSplit/>
        </w:trPr>
        <w:tc>
          <w:tcPr>
            <w:tcW w:w="3129" w:type="dxa"/>
          </w:tcPr>
          <w:p w:rsidR="00551CFA" w:rsidRPr="005148F9" w:rsidRDefault="00551CFA" w:rsidP="00706476">
            <w:pPr>
              <w:jc w:val="lowKashida"/>
              <w:rPr>
                <w:rFonts w:cs="Times New Roman"/>
                <w:b/>
                <w:bCs/>
                <w:sz w:val="24"/>
                <w:szCs w:val="24"/>
              </w:rPr>
            </w:pPr>
            <w:r>
              <w:rPr>
                <w:rFonts w:cs="Times New Roman"/>
                <w:b/>
                <w:bCs/>
                <w:sz w:val="24"/>
                <w:szCs w:val="24"/>
              </w:rPr>
              <w:t>November</w:t>
            </w:r>
            <w:r w:rsidRPr="005148F9">
              <w:rPr>
                <w:rFonts w:cs="Times New Roman"/>
                <w:b/>
                <w:bCs/>
                <w:sz w:val="24"/>
                <w:szCs w:val="24"/>
              </w:rPr>
              <w:t xml:space="preserve">, </w:t>
            </w:r>
            <w:r w:rsidR="00706476">
              <w:rPr>
                <w:rFonts w:cs="Times New Roman"/>
                <w:b/>
                <w:bCs/>
                <w:sz w:val="24"/>
                <w:szCs w:val="24"/>
              </w:rPr>
              <w:t>2021</w:t>
            </w:r>
          </w:p>
        </w:tc>
        <w:tc>
          <w:tcPr>
            <w:tcW w:w="2683" w:type="dxa"/>
          </w:tcPr>
          <w:p w:rsidR="00551CFA" w:rsidRPr="00C603A9" w:rsidRDefault="00551CFA">
            <w:pPr>
              <w:jc w:val="lowKashida"/>
              <w:rPr>
                <w:b/>
                <w:bCs/>
                <w:sz w:val="24"/>
              </w:rPr>
            </w:pPr>
          </w:p>
        </w:tc>
        <w:tc>
          <w:tcPr>
            <w:tcW w:w="3544" w:type="dxa"/>
            <w:vMerge w:val="restart"/>
          </w:tcPr>
          <w:p w:rsidR="00551CFA" w:rsidRPr="00B24E1B" w:rsidRDefault="00551CFA" w:rsidP="00551CFA">
            <w:pPr>
              <w:pStyle w:val="Heading8"/>
              <w:jc w:val="center"/>
              <w:rPr>
                <w:b w:val="0"/>
                <w:bCs w:val="0"/>
                <w:szCs w:val="24"/>
              </w:rPr>
            </w:pPr>
            <w:r>
              <w:rPr>
                <w:szCs w:val="24"/>
              </w:rPr>
              <w:t xml:space="preserve">Dr. </w:t>
            </w:r>
            <w:r w:rsidRPr="00B24E1B">
              <w:rPr>
                <w:szCs w:val="24"/>
              </w:rPr>
              <w:t>Ola Awad</w:t>
            </w:r>
          </w:p>
          <w:p w:rsidR="00551CFA" w:rsidRPr="00C603A9" w:rsidRDefault="00551CFA" w:rsidP="00551CFA">
            <w:pPr>
              <w:ind w:left="284" w:right="282"/>
              <w:jc w:val="center"/>
              <w:rPr>
                <w:b/>
                <w:bCs/>
                <w:sz w:val="24"/>
                <w:szCs w:val="24"/>
                <w:rtl/>
              </w:rPr>
            </w:pPr>
            <w:r w:rsidRPr="00B24E1B">
              <w:rPr>
                <w:b/>
                <w:bCs/>
                <w:sz w:val="24"/>
                <w:szCs w:val="28"/>
              </w:rPr>
              <w:t>President</w:t>
            </w:r>
            <w:r w:rsidRPr="00B24E1B">
              <w:rPr>
                <w:sz w:val="24"/>
                <w:szCs w:val="28"/>
              </w:rPr>
              <w:t xml:space="preserve"> </w:t>
            </w:r>
            <w:r w:rsidRPr="00B24E1B">
              <w:rPr>
                <w:b/>
                <w:bCs/>
                <w:sz w:val="24"/>
                <w:szCs w:val="28"/>
              </w:rPr>
              <w:t>of PCBS</w:t>
            </w:r>
          </w:p>
        </w:tc>
      </w:tr>
      <w:tr w:rsidR="00551CFA" w:rsidRPr="00C603A9">
        <w:trPr>
          <w:cantSplit/>
        </w:trPr>
        <w:tc>
          <w:tcPr>
            <w:tcW w:w="3129" w:type="dxa"/>
          </w:tcPr>
          <w:p w:rsidR="00551CFA" w:rsidRPr="00C603A9" w:rsidRDefault="00551CFA">
            <w:pPr>
              <w:jc w:val="lowKashida"/>
              <w:rPr>
                <w:b/>
                <w:bCs/>
              </w:rPr>
            </w:pPr>
          </w:p>
        </w:tc>
        <w:tc>
          <w:tcPr>
            <w:tcW w:w="2683" w:type="dxa"/>
          </w:tcPr>
          <w:p w:rsidR="00551CFA" w:rsidRPr="00C603A9" w:rsidRDefault="00551CFA">
            <w:pPr>
              <w:jc w:val="lowKashida"/>
              <w:rPr>
                <w:b/>
                <w:bCs/>
              </w:rPr>
            </w:pPr>
          </w:p>
        </w:tc>
        <w:tc>
          <w:tcPr>
            <w:tcW w:w="3544" w:type="dxa"/>
            <w:vMerge/>
          </w:tcPr>
          <w:p w:rsidR="00551CFA" w:rsidRPr="00C603A9" w:rsidRDefault="00551CFA">
            <w:pPr>
              <w:ind w:left="284" w:right="282"/>
              <w:jc w:val="center"/>
              <w:rPr>
                <w:b/>
                <w:bCs/>
                <w:sz w:val="24"/>
                <w:szCs w:val="24"/>
              </w:rPr>
            </w:pPr>
          </w:p>
        </w:tc>
      </w:tr>
    </w:tbl>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A12986" w:rsidRDefault="001A3F81" w:rsidP="001A3F81">
      <w:pPr>
        <w:tabs>
          <w:tab w:val="left" w:pos="5793"/>
        </w:tabs>
      </w:pPr>
      <w:r w:rsidRPr="00C603A9">
        <w:tab/>
      </w:r>
    </w:p>
    <w:p w:rsidR="00A12986" w:rsidRDefault="00A12986">
      <w:r>
        <w:br w:type="page"/>
      </w:r>
    </w:p>
    <w:p w:rsidR="003916F1" w:rsidRPr="00C603A9" w:rsidRDefault="003916F1" w:rsidP="001A3F81">
      <w:pPr>
        <w:tabs>
          <w:tab w:val="left" w:pos="5793"/>
        </w:tabs>
      </w:pPr>
    </w:p>
    <w:p w:rsidR="000E3ED8" w:rsidRPr="00C603A9" w:rsidRDefault="005E1E3C" w:rsidP="005E1E3C">
      <w:pPr>
        <w:pStyle w:val="TxBrp3"/>
        <w:tabs>
          <w:tab w:val="clear" w:pos="1116"/>
          <w:tab w:val="left" w:pos="2155"/>
          <w:tab w:val="left" w:pos="9242"/>
        </w:tabs>
        <w:spacing w:line="283" w:lineRule="exact"/>
        <w:ind w:left="0"/>
        <w:jc w:val="center"/>
        <w:rPr>
          <w:sz w:val="24"/>
        </w:rPr>
        <w:sectPr w:rsidR="000E3ED8" w:rsidRPr="00C603A9" w:rsidSect="00A25605">
          <w:headerReference w:type="default" r:id="rId13"/>
          <w:pgSz w:w="11909" w:h="16834" w:code="9"/>
          <w:pgMar w:top="1418" w:right="1418" w:bottom="1418" w:left="1418" w:header="709" w:footer="709" w:gutter="0"/>
          <w:pgNumType w:start="25"/>
          <w:cols w:space="720"/>
          <w:bidi/>
          <w:rtlGutter/>
        </w:sectPr>
      </w:pPr>
      <w:r w:rsidRPr="00C603A9">
        <w:rPr>
          <w:sz w:val="24"/>
        </w:rPr>
        <w:br w:type="page"/>
      </w:r>
    </w:p>
    <w:p w:rsidR="00BC1C6F" w:rsidRPr="00C603A9" w:rsidRDefault="00BC1C6F" w:rsidP="00BC1C6F">
      <w:pPr>
        <w:pStyle w:val="Title"/>
        <w:rPr>
          <w:b w:val="0"/>
          <w:bCs w:val="0"/>
          <w:sz w:val="24"/>
          <w:szCs w:val="24"/>
        </w:rPr>
      </w:pPr>
      <w:r w:rsidRPr="00C603A9">
        <w:rPr>
          <w:b w:val="0"/>
          <w:bCs w:val="0"/>
          <w:sz w:val="24"/>
          <w:szCs w:val="24"/>
        </w:rPr>
        <w:t xml:space="preserve">Chapter </w:t>
      </w:r>
      <w:r>
        <w:rPr>
          <w:b w:val="0"/>
          <w:bCs w:val="0"/>
          <w:sz w:val="24"/>
          <w:szCs w:val="24"/>
        </w:rPr>
        <w:t xml:space="preserve">One </w:t>
      </w:r>
    </w:p>
    <w:p w:rsidR="00BC1C6F" w:rsidRPr="00C603A9" w:rsidRDefault="00BC1C6F" w:rsidP="00BC1C6F">
      <w:pPr>
        <w:pStyle w:val="Title"/>
        <w:rPr>
          <w:b w:val="0"/>
          <w:bCs w:val="0"/>
          <w:sz w:val="24"/>
          <w:szCs w:val="24"/>
        </w:rPr>
      </w:pPr>
    </w:p>
    <w:p w:rsidR="00BC1C6F" w:rsidRDefault="008E28F7" w:rsidP="00BC1C6F">
      <w:pPr>
        <w:jc w:val="center"/>
        <w:rPr>
          <w:b/>
          <w:bCs/>
          <w:sz w:val="28"/>
          <w:szCs w:val="28"/>
        </w:rPr>
      </w:pPr>
      <w:r w:rsidRPr="008E28F7">
        <w:rPr>
          <w:b/>
          <w:bCs/>
          <w:sz w:val="28"/>
          <w:szCs w:val="36"/>
        </w:rPr>
        <w:t>Concepts and Terms</w:t>
      </w:r>
    </w:p>
    <w:p w:rsidR="005E6DB3" w:rsidRPr="00792261" w:rsidRDefault="008E28F7" w:rsidP="008E28F7">
      <w:pPr>
        <w:tabs>
          <w:tab w:val="left" w:pos="5023"/>
        </w:tabs>
        <w:rPr>
          <w:b/>
          <w:bCs/>
          <w:sz w:val="28"/>
          <w:szCs w:val="28"/>
        </w:rPr>
      </w:pPr>
      <w:r>
        <w:rPr>
          <w:b/>
          <w:bCs/>
          <w:sz w:val="28"/>
          <w:szCs w:val="28"/>
        </w:rPr>
        <w:tab/>
      </w:r>
    </w:p>
    <w:p w:rsidR="00BC1C6F" w:rsidRPr="00C603A9" w:rsidRDefault="00BC1C6F" w:rsidP="00BC1C6F">
      <w:pPr>
        <w:jc w:val="lowKashida"/>
        <w:rPr>
          <w:sz w:val="24"/>
          <w:szCs w:val="24"/>
          <w:lang w:val="en-GB" w:eastAsia="en-GB"/>
        </w:rPr>
      </w:pPr>
      <w:r w:rsidRPr="00C603A9">
        <w:rPr>
          <w:b/>
          <w:bCs/>
          <w:sz w:val="24"/>
          <w:szCs w:val="24"/>
        </w:rPr>
        <w:t>A Settlement:</w:t>
      </w:r>
      <w:r w:rsidRPr="00C603A9">
        <w:rPr>
          <w:sz w:val="24"/>
          <w:szCs w:val="24"/>
          <w:rtl/>
          <w:lang w:val="en-GB" w:eastAsia="en-GB"/>
        </w:rPr>
        <w:tab/>
      </w:r>
    </w:p>
    <w:p w:rsidR="00BC1C6F" w:rsidRPr="00C603A9" w:rsidRDefault="00BC1C6F" w:rsidP="00BC1C6F">
      <w:pPr>
        <w:jc w:val="lowKashida"/>
        <w:rPr>
          <w:sz w:val="24"/>
          <w:szCs w:val="24"/>
        </w:rPr>
      </w:pPr>
      <w:r w:rsidRPr="00C603A9">
        <w:rPr>
          <w:sz w:val="24"/>
          <w:szCs w:val="24"/>
        </w:rPr>
        <w:t xml:space="preserve">A settlement, which is considered by the Israeli occupation as legal settlement and meets locality conditions. The Israeli Central Bureau of Statistics defines a locality as follows: </w:t>
      </w:r>
    </w:p>
    <w:p w:rsidR="00BC1C6F" w:rsidRPr="00C603A9" w:rsidRDefault="00BC1C6F" w:rsidP="00BC1C6F">
      <w:pPr>
        <w:jc w:val="lowKashida"/>
        <w:rPr>
          <w:sz w:val="24"/>
          <w:szCs w:val="24"/>
        </w:rPr>
      </w:pPr>
      <w:r w:rsidRPr="00C603A9">
        <w:rPr>
          <w:sz w:val="24"/>
          <w:szCs w:val="24"/>
        </w:rPr>
        <w:t>An inhabited place according to the following criteria:</w:t>
      </w:r>
    </w:p>
    <w:p w:rsidR="009E1D61" w:rsidRPr="00C603A9" w:rsidRDefault="009E1D61" w:rsidP="009E1D61">
      <w:pPr>
        <w:numPr>
          <w:ilvl w:val="0"/>
          <w:numId w:val="3"/>
        </w:numPr>
        <w:tabs>
          <w:tab w:val="clear" w:pos="720"/>
        </w:tabs>
        <w:ind w:left="567" w:hanging="283"/>
        <w:jc w:val="lowKashida"/>
        <w:rPr>
          <w:sz w:val="24"/>
          <w:szCs w:val="24"/>
        </w:rPr>
      </w:pPr>
      <w:r>
        <w:rPr>
          <w:sz w:val="24"/>
          <w:szCs w:val="24"/>
        </w:rPr>
        <w:t>Contains</w:t>
      </w:r>
      <w:r w:rsidRPr="00C603A9">
        <w:rPr>
          <w:sz w:val="24"/>
          <w:szCs w:val="24"/>
        </w:rPr>
        <w:t xml:space="preserve"> 20 or more inhabitants.</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Self-ruled.</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Not included in the formal borders of another locality.</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 xml:space="preserve">Formally recognized.  </w:t>
      </w:r>
    </w:p>
    <w:p w:rsidR="00BC1C6F" w:rsidRPr="00C603A9" w:rsidRDefault="009E1D61" w:rsidP="00BC1C6F">
      <w:pPr>
        <w:jc w:val="lowKashida"/>
        <w:rPr>
          <w:sz w:val="24"/>
          <w:szCs w:val="24"/>
        </w:rPr>
      </w:pPr>
      <w:r>
        <w:rPr>
          <w:sz w:val="24"/>
          <w:szCs w:val="24"/>
        </w:rPr>
        <w:t>This is i</w:t>
      </w:r>
      <w:r w:rsidRPr="00C603A9">
        <w:rPr>
          <w:sz w:val="24"/>
          <w:szCs w:val="24"/>
        </w:rPr>
        <w:t>n addition to the settlements and Jewish neighborhoods</w:t>
      </w:r>
      <w:r>
        <w:rPr>
          <w:sz w:val="24"/>
          <w:szCs w:val="24"/>
        </w:rPr>
        <w:t xml:space="preserve"> located in Jerusalem (J1)</w:t>
      </w:r>
      <w:r w:rsidR="00BC1C6F" w:rsidRPr="00C603A9">
        <w:rPr>
          <w:sz w:val="24"/>
          <w:szCs w:val="24"/>
        </w:rPr>
        <w:t xml:space="preserve">.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b/>
          <w:bCs/>
          <w:sz w:val="24"/>
          <w:szCs w:val="24"/>
          <w:rtl/>
          <w:lang w:val="en-GB"/>
        </w:rPr>
      </w:pPr>
      <w:r w:rsidRPr="00C603A9">
        <w:rPr>
          <w:b/>
          <w:bCs/>
          <w:sz w:val="24"/>
          <w:szCs w:val="24"/>
        </w:rPr>
        <w:t>Outpost:</w:t>
      </w:r>
    </w:p>
    <w:p w:rsidR="009E1D61" w:rsidRPr="00C603A9" w:rsidRDefault="009E1D61" w:rsidP="009E1D61">
      <w:pPr>
        <w:tabs>
          <w:tab w:val="left" w:pos="2155"/>
          <w:tab w:val="left" w:pos="9242"/>
        </w:tabs>
        <w:jc w:val="lowKashida"/>
        <w:rPr>
          <w:sz w:val="24"/>
          <w:szCs w:val="24"/>
          <w:lang w:val="en-GB" w:eastAsia="en-GB"/>
        </w:rPr>
      </w:pPr>
      <w:r w:rsidRPr="00C603A9">
        <w:rPr>
          <w:sz w:val="24"/>
          <w:szCs w:val="24"/>
        </w:rPr>
        <w:t xml:space="preserve">Civil or semi military building, which is not recognized by Israeli authority. However, the recognition would come later at the politically </w:t>
      </w:r>
      <w:r>
        <w:rPr>
          <w:sz w:val="24"/>
          <w:szCs w:val="24"/>
        </w:rPr>
        <w:t>right</w:t>
      </w:r>
      <w:r w:rsidRPr="00C603A9">
        <w:rPr>
          <w:sz w:val="24"/>
          <w:szCs w:val="24"/>
        </w:rPr>
        <w:t xml:space="preserve"> moment. Accordingly, an outpost may become a settlement or a military base.</w:t>
      </w:r>
    </w:p>
    <w:p w:rsidR="00BC1C6F" w:rsidRPr="003273C8" w:rsidRDefault="00BC1C6F" w:rsidP="00BC1C6F">
      <w:pPr>
        <w:tabs>
          <w:tab w:val="left" w:pos="2155"/>
          <w:tab w:val="left" w:pos="9242"/>
        </w:tabs>
        <w:jc w:val="lowKashida"/>
        <w:rPr>
          <w:sz w:val="18"/>
          <w:szCs w:val="18"/>
        </w:rPr>
      </w:pPr>
      <w:r w:rsidRPr="003273C8">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Occupation Site:</w:t>
      </w:r>
    </w:p>
    <w:p w:rsidR="00BC1C6F" w:rsidRDefault="00BC1C6F" w:rsidP="00BC1C6F">
      <w:pPr>
        <w:tabs>
          <w:tab w:val="left" w:pos="2155"/>
          <w:tab w:val="left" w:pos="9242"/>
        </w:tabs>
        <w:jc w:val="lowKashida"/>
        <w:rPr>
          <w:sz w:val="24"/>
          <w:szCs w:val="24"/>
        </w:rPr>
      </w:pPr>
      <w:r w:rsidRPr="00060A79">
        <w:rPr>
          <w:sz w:val="24"/>
          <w:szCs w:val="24"/>
        </w:rPr>
        <w:t>Includes settlements, outposts, military settlements, semi-military settlements, agricultural settlements, Israeli industrial areas and Israeli military bases.</w:t>
      </w:r>
    </w:p>
    <w:p w:rsidR="00BC1C6F" w:rsidRPr="00060A79" w:rsidRDefault="00BC1C6F" w:rsidP="00BC1C6F">
      <w:pPr>
        <w:tabs>
          <w:tab w:val="left" w:pos="2155"/>
          <w:tab w:val="left" w:pos="9242"/>
        </w:tabs>
        <w:jc w:val="lowKashida"/>
        <w:rPr>
          <w:sz w:val="24"/>
          <w:szCs w:val="24"/>
        </w:rPr>
      </w:pPr>
      <w:r w:rsidRPr="00060A79">
        <w:rPr>
          <w:sz w:val="24"/>
          <w:szCs w:val="24"/>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Yesha Council:</w:t>
      </w:r>
    </w:p>
    <w:p w:rsidR="00BC1C6F" w:rsidRPr="00C603A9" w:rsidRDefault="00BC1C6F" w:rsidP="00BC1C6F">
      <w:pPr>
        <w:tabs>
          <w:tab w:val="left" w:pos="2155"/>
          <w:tab w:val="left" w:pos="9242"/>
        </w:tabs>
        <w:jc w:val="lowKashida"/>
        <w:rPr>
          <w:sz w:val="24"/>
          <w:szCs w:val="24"/>
          <w:lang w:val="en-GB"/>
        </w:rPr>
      </w:pPr>
      <w:r w:rsidRPr="00C603A9">
        <w:rPr>
          <w:sz w:val="24"/>
          <w:szCs w:val="24"/>
        </w:rPr>
        <w:t>It refers to the council that represents settlers in the West Bank except that part of Jerusalem which was forcefully Annexed by Israel following its occupation of the West Bank in 1967. Yesha is also the representing body of a number of regional councils.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rStyle w:val="LatinChar0"/>
          <w:b/>
          <w:bCs/>
          <w:lang w:val="en-GB" w:eastAsia="en-GB"/>
        </w:rPr>
      </w:pPr>
      <w:r w:rsidRPr="00C603A9">
        <w:rPr>
          <w:rStyle w:val="LatinChar0"/>
          <w:b/>
          <w:bCs/>
          <w:sz w:val="24"/>
          <w:szCs w:val="24"/>
          <w:lang w:val="en-GB" w:eastAsia="en-GB"/>
        </w:rPr>
        <w:t xml:space="preserve">Regional Council:  </w:t>
      </w:r>
    </w:p>
    <w:p w:rsidR="00BC1C6F" w:rsidRPr="00C603A9" w:rsidRDefault="00BC1C6F" w:rsidP="00BC1C6F">
      <w:pPr>
        <w:tabs>
          <w:tab w:val="left" w:pos="2155"/>
          <w:tab w:val="left" w:pos="9242"/>
        </w:tabs>
        <w:jc w:val="lowKashida"/>
        <w:rPr>
          <w:sz w:val="24"/>
          <w:szCs w:val="24"/>
        </w:rPr>
      </w:pPr>
      <w:r w:rsidRPr="00C603A9">
        <w:rPr>
          <w:sz w:val="24"/>
          <w:szCs w:val="24"/>
        </w:rPr>
        <w:t>It’s an administrative authority representing a number of settlements.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Built –Up land in the Occupation Site:</w:t>
      </w:r>
    </w:p>
    <w:p w:rsidR="00BC1C6F" w:rsidRPr="00C603A9" w:rsidRDefault="00BC1C6F" w:rsidP="00BC1C6F">
      <w:pPr>
        <w:tabs>
          <w:tab w:val="left" w:pos="2155"/>
          <w:tab w:val="left" w:pos="9242"/>
        </w:tabs>
        <w:jc w:val="lowKashida"/>
        <w:rPr>
          <w:sz w:val="24"/>
          <w:szCs w:val="24"/>
        </w:rPr>
      </w:pPr>
      <w:r w:rsidRPr="00C603A9">
        <w:rPr>
          <w:sz w:val="24"/>
          <w:szCs w:val="24"/>
        </w:rPr>
        <w:t>It refers to all areas of human activity within a settlement including built-up areas, service facilities, public parks, squares, and roads. It excludes any land that is planned for construction according to the structural plan of the occupation site or confiscated land to be annexed later to the occupation site.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rFonts w:cs="Times New Roman"/>
          <w:b/>
          <w:bCs/>
          <w:sz w:val="24"/>
          <w:szCs w:val="24"/>
        </w:rPr>
        <w:t xml:space="preserve">Urban Settlement:  </w:t>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2000 or more inhabitants, beside those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sz w:val="24"/>
          <w:szCs w:val="24"/>
          <w:lang w:val="en-GB"/>
        </w:rPr>
      </w:pPr>
      <w:r w:rsidRPr="00C603A9">
        <w:rPr>
          <w:b/>
          <w:bCs/>
          <w:sz w:val="24"/>
          <w:szCs w:val="24"/>
        </w:rPr>
        <w:t>Rural Settlement:</w:t>
      </w:r>
      <w:r w:rsidRPr="00C603A9">
        <w:rPr>
          <w:sz w:val="24"/>
          <w:szCs w:val="24"/>
          <w:rtl/>
          <w:lang w:val="en-GB"/>
        </w:rPr>
        <w:tab/>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less than 2,000 inhabitants, also includes agricultural localities</w:t>
      </w:r>
      <w:r w:rsidR="00706476" w:rsidRPr="00C603A9">
        <w:rPr>
          <w:sz w:val="24"/>
          <w:szCs w:val="24"/>
        </w:rPr>
        <w:t>, excluding</w:t>
      </w:r>
      <w:r w:rsidRPr="00C603A9">
        <w:rPr>
          <w:sz w:val="24"/>
          <w:szCs w:val="24"/>
        </w:rPr>
        <w:t xml:space="preserve">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r w:rsidRPr="00C603A9">
        <w:rPr>
          <w:b/>
          <w:bCs/>
          <w:sz w:val="24"/>
          <w:szCs w:val="24"/>
        </w:rPr>
        <w:t>Moshav:</w:t>
      </w:r>
      <w:r w:rsidRPr="00C603A9">
        <w:rPr>
          <w:sz w:val="24"/>
          <w:szCs w:val="24"/>
          <w:rtl/>
          <w:lang w:val="en-GB"/>
        </w:rPr>
        <w:tab/>
      </w:r>
    </w:p>
    <w:p w:rsidR="00BC1C6F" w:rsidRPr="00C603A9" w:rsidRDefault="00BC1C6F" w:rsidP="00BC1C6F">
      <w:pPr>
        <w:tabs>
          <w:tab w:val="left" w:pos="2155"/>
          <w:tab w:val="left" w:pos="9242"/>
        </w:tabs>
        <w:jc w:val="lowKashida"/>
        <w:rPr>
          <w:sz w:val="24"/>
          <w:szCs w:val="24"/>
        </w:rPr>
      </w:pPr>
      <w:r w:rsidRPr="00C603A9">
        <w:rPr>
          <w:sz w:val="24"/>
          <w:szCs w:val="24"/>
        </w:rPr>
        <w:t>It refers to the rural settlement organized as a cooperative association, which has the right to agricultural farmland (as defined by the Israel Lands Administration). These settlements consist of family units, each of which is an independent economic entity. Part of the production and economic administration of the moshav is handled by the cooperative association, and the residents determine the degree of cooperation.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r w:rsidRPr="00C603A9">
        <w:rPr>
          <w:b/>
          <w:bCs/>
          <w:sz w:val="24"/>
          <w:szCs w:val="24"/>
        </w:rPr>
        <w:t>Collective Moshav:</w:t>
      </w:r>
    </w:p>
    <w:p w:rsidR="00BC1C6F" w:rsidRPr="00C603A9" w:rsidRDefault="00BC1C6F" w:rsidP="00BC1C6F">
      <w:pPr>
        <w:tabs>
          <w:tab w:val="left" w:pos="2155"/>
          <w:tab w:val="left" w:pos="9242"/>
        </w:tabs>
        <w:jc w:val="lowKashida"/>
        <w:rPr>
          <w:sz w:val="24"/>
          <w:szCs w:val="24"/>
        </w:rPr>
      </w:pPr>
      <w:r w:rsidRPr="00C603A9">
        <w:rPr>
          <w:sz w:val="24"/>
          <w:szCs w:val="24"/>
        </w:rPr>
        <w:t>It refers to a collective rural settlement where production and marketing are cooperative and consumption is private.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Kibbutz:</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collective rural settlement with cooperative production, marketing, and consumption.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FF7E7A">
      <w:pPr>
        <w:tabs>
          <w:tab w:val="left" w:pos="3828"/>
          <w:tab w:val="left" w:pos="9242"/>
        </w:tabs>
        <w:jc w:val="lowKashida"/>
        <w:rPr>
          <w:b/>
          <w:bCs/>
          <w:sz w:val="24"/>
          <w:szCs w:val="24"/>
        </w:rPr>
      </w:pPr>
      <w:r w:rsidRPr="00C603A9">
        <w:rPr>
          <w:b/>
          <w:bCs/>
          <w:sz w:val="24"/>
          <w:szCs w:val="24"/>
        </w:rPr>
        <w:t>Institutional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an institution, which has the characteristics of a settlement but is not within the administrative boundaries of another settlement.</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FF7E7A" w:rsidP="00FF7E7A">
      <w:pPr>
        <w:tabs>
          <w:tab w:val="left" w:pos="3828"/>
          <w:tab w:val="left" w:pos="9242"/>
        </w:tabs>
        <w:jc w:val="lowKashida"/>
        <w:rPr>
          <w:b/>
          <w:bCs/>
          <w:sz w:val="24"/>
          <w:szCs w:val="24"/>
        </w:rPr>
      </w:pPr>
      <w:r>
        <w:rPr>
          <w:b/>
          <w:bCs/>
          <w:sz w:val="24"/>
          <w:szCs w:val="24"/>
        </w:rPr>
        <w:t xml:space="preserve">Communal </w:t>
      </w:r>
      <w:r w:rsidR="00BC1C6F" w:rsidRPr="00C603A9">
        <w:rPr>
          <w:b/>
          <w:bCs/>
          <w:sz w:val="24"/>
          <w:szCs w:val="24"/>
        </w:rPr>
        <w:t>Settlement:</w:t>
      </w:r>
      <w:r w:rsidR="00BC1C6F"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settlement organized as a cooperative association, which has no right to farmland and its members determine the extent of its cooperative activities concerning production, consumption, municipal, and social activities.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961B6F">
      <w:pPr>
        <w:tabs>
          <w:tab w:val="left" w:pos="3828"/>
          <w:tab w:val="left" w:pos="9242"/>
        </w:tabs>
        <w:jc w:val="lowKashida"/>
        <w:rPr>
          <w:b/>
          <w:bCs/>
          <w:sz w:val="24"/>
          <w:szCs w:val="24"/>
        </w:rPr>
      </w:pPr>
      <w:r w:rsidRPr="00C603A9">
        <w:rPr>
          <w:b/>
          <w:bCs/>
          <w:sz w:val="24"/>
          <w:szCs w:val="24"/>
        </w:rPr>
        <w:t>Other Rural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less than 2,000 inhabitants and not found in any type of the settlements above.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pStyle w:val="BodyText"/>
        <w:rPr>
          <w:b/>
          <w:bCs/>
          <w:szCs w:val="24"/>
        </w:rPr>
      </w:pPr>
      <w:r w:rsidRPr="00C603A9">
        <w:rPr>
          <w:b/>
          <w:bCs/>
          <w:szCs w:val="24"/>
        </w:rPr>
        <w:t>Geographical Dispersion of the West Bank:</w:t>
      </w:r>
    </w:p>
    <w:p w:rsidR="00BC1C6F" w:rsidRPr="00C603A9" w:rsidRDefault="00BC1C6F" w:rsidP="00BC1C6F">
      <w:pPr>
        <w:pStyle w:val="BodyText"/>
        <w:rPr>
          <w:szCs w:val="24"/>
        </w:rPr>
      </w:pPr>
      <w:r w:rsidRPr="00C603A9">
        <w:rPr>
          <w:szCs w:val="24"/>
        </w:rPr>
        <w:t xml:space="preserve">This classification divides the West Bank into four areas (strips): the mountain strip, the western hills strip, and greater Jerusalem strip.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The Eastern Strip: </w:t>
      </w:r>
      <w:r>
        <w:rPr>
          <w:sz w:val="24"/>
          <w:szCs w:val="24"/>
        </w:rPr>
        <w:t xml:space="preserve">It </w:t>
      </w:r>
      <w:r w:rsidRPr="00C603A9">
        <w:rPr>
          <w:sz w:val="24"/>
          <w:szCs w:val="24"/>
        </w:rPr>
        <w:t xml:space="preserve">includes the Jordan Valley area and the shores of the Dead Sea (outside the Green Line), as well as the eastern slopes of the mountain range that divides the entire West Bank from north to south. </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The Mountain Strip: </w:t>
      </w:r>
      <w:r>
        <w:rPr>
          <w:sz w:val="24"/>
          <w:szCs w:val="24"/>
        </w:rPr>
        <w:t>T</w:t>
      </w:r>
      <w:r w:rsidRPr="00C603A9">
        <w:rPr>
          <w:sz w:val="24"/>
          <w:szCs w:val="24"/>
        </w:rPr>
        <w:t xml:space="preserve">he area on or adjacent to the peaks of the mountain range. This area is also known as the watershed line or the mountain-peak area. </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The Western Hills Strip: </w:t>
      </w:r>
      <w:r>
        <w:rPr>
          <w:sz w:val="24"/>
          <w:szCs w:val="24"/>
        </w:rPr>
        <w:t>It</w:t>
      </w:r>
      <w:r w:rsidRPr="00C603A9">
        <w:rPr>
          <w:sz w:val="24"/>
          <w:szCs w:val="24"/>
        </w:rPr>
        <w:t xml:space="preserve"> includes the western slopes of the mountain range, and extends to the Green Line to the west.</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Greater Jerusalem Strip: </w:t>
      </w:r>
      <w:r>
        <w:rPr>
          <w:sz w:val="24"/>
          <w:szCs w:val="24"/>
        </w:rPr>
        <w:t>T</w:t>
      </w:r>
      <w:r w:rsidRPr="00C603A9">
        <w:rPr>
          <w:sz w:val="24"/>
          <w:szCs w:val="24"/>
        </w:rPr>
        <w:t>his area extends across a wide radius around West Jerusalem. Although in purely geographical terms this area lies mainly in the Mountain Strip, it has unique characteristics that demand separate attention.</w:t>
      </w:r>
    </w:p>
    <w:p w:rsidR="00BC1C6F" w:rsidRPr="00C603A9" w:rsidRDefault="00BC1C6F" w:rsidP="00BC1C6F">
      <w:pPr>
        <w:tabs>
          <w:tab w:val="left" w:pos="2155"/>
          <w:tab w:val="left" w:pos="9242"/>
        </w:tabs>
        <w:jc w:val="lowKashida"/>
        <w:rPr>
          <w:b/>
          <w:bCs/>
          <w:sz w:val="18"/>
          <w:szCs w:val="18"/>
        </w:rPr>
      </w:pPr>
    </w:p>
    <w:p w:rsidR="00BC1C6F" w:rsidRPr="00961B6F" w:rsidRDefault="00BC1C6F" w:rsidP="00961B6F">
      <w:pPr>
        <w:pStyle w:val="BodyText"/>
        <w:rPr>
          <w:b/>
          <w:bCs/>
          <w:szCs w:val="24"/>
        </w:rPr>
      </w:pPr>
      <w:r w:rsidRPr="00961B6F">
        <w:rPr>
          <w:b/>
          <w:bCs/>
          <w:szCs w:val="24"/>
        </w:rPr>
        <w:t>Average altitude (Meters):</w:t>
      </w:r>
      <w:r w:rsidRPr="00961B6F">
        <w:rPr>
          <w:b/>
          <w:bCs/>
          <w:szCs w:val="24"/>
        </w:rPr>
        <w:tab/>
      </w:r>
    </w:p>
    <w:p w:rsidR="00BC1C6F" w:rsidRPr="00C603A9" w:rsidRDefault="00BC1C6F" w:rsidP="00BC1C6F">
      <w:pPr>
        <w:jc w:val="lowKashida"/>
        <w:rPr>
          <w:sz w:val="24"/>
          <w:szCs w:val="24"/>
        </w:rPr>
      </w:pPr>
      <w:r w:rsidRPr="00C603A9">
        <w:rPr>
          <w:sz w:val="24"/>
          <w:szCs w:val="24"/>
        </w:rPr>
        <w:t>The average height of land above the level of the Sea (meter) in relation to main population center.</w:t>
      </w:r>
    </w:p>
    <w:p w:rsidR="00BC1C6F" w:rsidRPr="003273C8" w:rsidRDefault="00BC1C6F" w:rsidP="00BC1C6F">
      <w:pPr>
        <w:pStyle w:val="TxBrp3"/>
        <w:tabs>
          <w:tab w:val="clear" w:pos="1116"/>
          <w:tab w:val="left" w:pos="2155"/>
          <w:tab w:val="left" w:pos="9242"/>
        </w:tabs>
        <w:spacing w:line="283" w:lineRule="exact"/>
        <w:ind w:left="0"/>
        <w:jc w:val="lowKashida"/>
        <w:rPr>
          <w:b/>
          <w:bCs/>
          <w:sz w:val="18"/>
          <w:szCs w:val="18"/>
        </w:rPr>
      </w:pPr>
    </w:p>
    <w:p w:rsidR="00BC1C6F" w:rsidRPr="00C603A9" w:rsidRDefault="00BC1C6F" w:rsidP="00BC1C6F">
      <w:pPr>
        <w:pStyle w:val="TxBrp3"/>
        <w:tabs>
          <w:tab w:val="clear" w:pos="1116"/>
          <w:tab w:val="left" w:pos="2155"/>
          <w:tab w:val="left" w:pos="9242"/>
        </w:tabs>
        <w:spacing w:line="283" w:lineRule="exact"/>
        <w:ind w:left="0"/>
        <w:jc w:val="lowKashida"/>
        <w:rPr>
          <w:rFonts w:cs="Times New Roman"/>
          <w:b/>
          <w:bCs/>
          <w:noProof w:val="0"/>
          <w:sz w:val="24"/>
          <w:lang w:eastAsia="ar-SA"/>
        </w:rPr>
      </w:pPr>
      <w:r w:rsidRPr="00C603A9">
        <w:rPr>
          <w:b/>
          <w:bCs/>
          <w:sz w:val="24"/>
        </w:rPr>
        <w:t>Jerusalem (J1):</w:t>
      </w:r>
      <w:r w:rsidRPr="00C603A9">
        <w:rPr>
          <w:rFonts w:cs="Times New Roman"/>
          <w:b/>
          <w:bCs/>
          <w:noProof w:val="0"/>
          <w:sz w:val="24"/>
          <w:lang w:eastAsia="ar-SA"/>
        </w:rPr>
        <w:tab/>
      </w:r>
    </w:p>
    <w:p w:rsidR="009E1D61" w:rsidRPr="00646183" w:rsidRDefault="009E1D61" w:rsidP="009E1D61">
      <w:pPr>
        <w:tabs>
          <w:tab w:val="left" w:pos="2155"/>
          <w:tab w:val="left" w:pos="9242"/>
        </w:tabs>
        <w:jc w:val="lowKashida"/>
        <w:rPr>
          <w:sz w:val="24"/>
          <w:szCs w:val="24"/>
        </w:rPr>
      </w:pPr>
      <w:r>
        <w:rPr>
          <w:rStyle w:val="hps"/>
          <w:sz w:val="24"/>
          <w:szCs w:val="24"/>
        </w:rPr>
        <w:t xml:space="preserve">It </w:t>
      </w:r>
      <w:r w:rsidRPr="00646183">
        <w:rPr>
          <w:rStyle w:val="hps"/>
          <w:sz w:val="24"/>
          <w:szCs w:val="24"/>
        </w:rPr>
        <w:t xml:space="preserve">includes those parts of Jerusalem which were annexed by Israeli occupation in 1967. Those parts include the following localities: </w:t>
      </w:r>
      <w:r w:rsidRPr="00646183">
        <w:rPr>
          <w:sz w:val="24"/>
          <w:szCs w:val="24"/>
        </w:rPr>
        <w:t xml:space="preserve">(Kafr A'qab, Beit Hanina, Shu'fat Camp, Shu'fat, Al 'Isawiya, Sheikh Jarrah, Wadi al Joz, Bab as Sahira, As Suwwana, At Tur, Jerusalem (Al Quds), Ash Shayyah, Ras al 'Amud, Silwan, Ath Thuri, Jabal al Mukabbir, As Sawahira al Gharbiya, Beit Safafa, Sharafat, Sur Bahir, Umm Tuba.). </w:t>
      </w:r>
      <w:r w:rsidRPr="00646183">
        <w:rPr>
          <w:b/>
          <w:bCs/>
          <w:sz w:val="24"/>
          <w:szCs w:val="24"/>
        </w:rPr>
        <w:t> </w:t>
      </w:r>
    </w:p>
    <w:p w:rsidR="00BC1C6F" w:rsidRPr="00C603A9" w:rsidRDefault="00BC1C6F" w:rsidP="003260D2">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jc w:val="lowKashida"/>
        <w:rPr>
          <w:b/>
          <w:bCs/>
          <w:sz w:val="24"/>
          <w:szCs w:val="24"/>
        </w:rPr>
      </w:pPr>
      <w:r w:rsidRPr="00C603A9">
        <w:rPr>
          <w:b/>
          <w:bCs/>
          <w:sz w:val="24"/>
          <w:szCs w:val="24"/>
        </w:rPr>
        <w:t>Jerusalem (J2):</w:t>
      </w:r>
    </w:p>
    <w:p w:rsidR="009E1D61" w:rsidRPr="00646183" w:rsidRDefault="009E1D61" w:rsidP="009E1D61">
      <w:pPr>
        <w:jc w:val="lowKashida"/>
        <w:rPr>
          <w:sz w:val="24"/>
          <w:szCs w:val="24"/>
        </w:rPr>
      </w:pPr>
      <w:r w:rsidRPr="00646183">
        <w:rPr>
          <w:rStyle w:val="hps"/>
          <w:sz w:val="24"/>
          <w:szCs w:val="24"/>
        </w:rPr>
        <w:t>I</w:t>
      </w:r>
      <w:r>
        <w:rPr>
          <w:rStyle w:val="hps"/>
          <w:sz w:val="24"/>
          <w:szCs w:val="24"/>
        </w:rPr>
        <w:t>t i</w:t>
      </w:r>
      <w:r w:rsidRPr="00646183">
        <w:rPr>
          <w:rStyle w:val="hps"/>
          <w:sz w:val="24"/>
          <w:szCs w:val="24"/>
        </w:rPr>
        <w:t>ncludes the following localities:</w:t>
      </w:r>
      <w:r w:rsidRPr="00646183">
        <w:rPr>
          <w:sz w:val="24"/>
          <w:szCs w:val="24"/>
        </w:rPr>
        <w:t xml:space="preserve"> (Rafat, Mikhmas, Qalandiya Camp, Qalandiya, Beit Duqqu, Jaba', Al Judeira, Ar Ram &amp; Dahiyat al Bareed, Beit A'nan, Al Jib, Bir Nabala, Beit Ijza, Al Qubeiba, Kharayib Umm al Lahim, Biddu, An Nabi Samwil, Hizma, Beit Hanina al Balad, Qatanna, Beit Surik, Beit Iksa, A'nata, Al Ka'abina (Tajammu' Badawi), Az Za'ayyem, Al 'Eizariya, Abu Dis, A'rab al Jahalin (Salamat), As Sawahira ash Sharqiya, Ash Sheikh Sa'd).</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pStyle w:val="TxBrp3"/>
        <w:tabs>
          <w:tab w:val="clear" w:pos="1116"/>
          <w:tab w:val="left" w:pos="854"/>
        </w:tabs>
        <w:spacing w:line="283" w:lineRule="exact"/>
        <w:ind w:left="0"/>
        <w:jc w:val="lowKashida"/>
        <w:rPr>
          <w:b/>
          <w:bCs/>
          <w:sz w:val="24"/>
        </w:rPr>
      </w:pPr>
      <w:r w:rsidRPr="00C603A9">
        <w:rPr>
          <w:b/>
          <w:bCs/>
          <w:sz w:val="24"/>
        </w:rPr>
        <w:t>A set of special symbols was used in the tables of this report</w:t>
      </w:r>
    </w:p>
    <w:p w:rsidR="00BC1C6F" w:rsidRPr="00C603A9" w:rsidRDefault="00BC1C6F" w:rsidP="00BC1C6F">
      <w:pPr>
        <w:jc w:val="lowKashida"/>
        <w:rPr>
          <w:sz w:val="24"/>
          <w:szCs w:val="24"/>
        </w:rPr>
      </w:pPr>
      <w:r w:rsidRPr="00C603A9">
        <w:rPr>
          <w:sz w:val="24"/>
          <w:szCs w:val="24"/>
        </w:rPr>
        <w:t>(-):</w:t>
      </w:r>
      <w:r w:rsidRPr="00C603A9">
        <w:rPr>
          <w:sz w:val="24"/>
          <w:szCs w:val="24"/>
        </w:rPr>
        <w:tab/>
        <w:t>Nil</w:t>
      </w:r>
    </w:p>
    <w:p w:rsidR="00BC1C6F" w:rsidRPr="00C603A9" w:rsidRDefault="00BC1C6F" w:rsidP="00BC1C6F">
      <w:pPr>
        <w:jc w:val="lowKashida"/>
        <w:rPr>
          <w:sz w:val="24"/>
          <w:szCs w:val="24"/>
        </w:rPr>
      </w:pPr>
      <w:r w:rsidRPr="00C603A9">
        <w:rPr>
          <w:sz w:val="24"/>
          <w:szCs w:val="24"/>
        </w:rPr>
        <w:t>(..):</w:t>
      </w:r>
      <w:r w:rsidRPr="00C603A9">
        <w:rPr>
          <w:sz w:val="24"/>
          <w:szCs w:val="24"/>
        </w:rPr>
        <w:tab/>
        <w:t>Data not available</w:t>
      </w:r>
    </w:p>
    <w:p w:rsidR="00BC1C6F" w:rsidRPr="00C603A9" w:rsidRDefault="00BC1C6F" w:rsidP="00BC1C6F">
      <w:pPr>
        <w:jc w:val="lowKashida"/>
        <w:rPr>
          <w:sz w:val="24"/>
          <w:szCs w:val="24"/>
        </w:rPr>
      </w:pPr>
      <w:r w:rsidRPr="00C603A9">
        <w:rPr>
          <w:sz w:val="24"/>
          <w:szCs w:val="24"/>
        </w:rPr>
        <w:t xml:space="preserve">(R):      Revised Figures </w:t>
      </w:r>
    </w:p>
    <w:p w:rsidR="00BC1C6F" w:rsidRDefault="00BC1C6F">
      <w:pPr>
        <w:rPr>
          <w:noProof/>
          <w:sz w:val="24"/>
          <w:szCs w:val="24"/>
        </w:rPr>
      </w:pPr>
      <w:r>
        <w:rPr>
          <w:sz w:val="24"/>
        </w:rPr>
        <w:br w:type="page"/>
      </w:r>
    </w:p>
    <w:p w:rsidR="00BC1C6F" w:rsidRDefault="00BC1C6F">
      <w:pPr>
        <w:rPr>
          <w:noProof/>
          <w:sz w:val="24"/>
          <w:szCs w:val="24"/>
        </w:rPr>
      </w:pPr>
      <w:r>
        <w:rPr>
          <w:sz w:val="24"/>
        </w:rPr>
        <w:br w:type="page"/>
      </w:r>
    </w:p>
    <w:p w:rsidR="005E1E3C" w:rsidRPr="00C603A9" w:rsidRDefault="005E1E3C" w:rsidP="00BC1C6F">
      <w:pPr>
        <w:pStyle w:val="TxBrp3"/>
        <w:tabs>
          <w:tab w:val="clear" w:pos="1116"/>
          <w:tab w:val="left" w:pos="2155"/>
          <w:tab w:val="left" w:pos="9242"/>
        </w:tabs>
        <w:spacing w:line="283" w:lineRule="exact"/>
        <w:ind w:left="0"/>
        <w:jc w:val="center"/>
        <w:rPr>
          <w:sz w:val="24"/>
        </w:rPr>
      </w:pPr>
      <w:r w:rsidRPr="00C603A9">
        <w:rPr>
          <w:sz w:val="24"/>
        </w:rPr>
        <w:t xml:space="preserve">Chapter </w:t>
      </w:r>
      <w:r w:rsidR="00BC1C6F">
        <w:rPr>
          <w:sz w:val="24"/>
        </w:rPr>
        <w:t xml:space="preserve">Tow </w:t>
      </w:r>
    </w:p>
    <w:p w:rsidR="005E1E3C" w:rsidRPr="000B7819" w:rsidRDefault="005E1E3C" w:rsidP="005E1E3C">
      <w:pPr>
        <w:pStyle w:val="Title"/>
        <w:rPr>
          <w:b w:val="0"/>
          <w:bCs w:val="0"/>
          <w:sz w:val="22"/>
          <w:szCs w:val="22"/>
          <w:lang w:val="en-GB"/>
        </w:rPr>
      </w:pPr>
    </w:p>
    <w:p w:rsidR="005E1E3C" w:rsidRPr="00C603A9" w:rsidRDefault="005E1E3C" w:rsidP="005E1E3C">
      <w:pPr>
        <w:pStyle w:val="Title"/>
        <w:rPr>
          <w:b w:val="0"/>
          <w:bCs w:val="0"/>
          <w:sz w:val="22"/>
          <w:szCs w:val="24"/>
          <w:rtl/>
          <w:lang w:val="en-GB"/>
        </w:rPr>
      </w:pPr>
      <w:r w:rsidRPr="00C603A9">
        <w:rPr>
          <w:szCs w:val="24"/>
        </w:rPr>
        <w:t>Main Findings</w:t>
      </w:r>
    </w:p>
    <w:p w:rsidR="005E1E3C" w:rsidRPr="00C603A9" w:rsidRDefault="005E1E3C" w:rsidP="005E1E3C">
      <w:pPr>
        <w:rPr>
          <w:sz w:val="24"/>
          <w:szCs w:val="24"/>
        </w:rPr>
      </w:pPr>
    </w:p>
    <w:p w:rsidR="005E1E3C" w:rsidRPr="00C603A9" w:rsidRDefault="00BC1C6F" w:rsidP="005E1E3C">
      <w:pPr>
        <w:jc w:val="lowKashida"/>
        <w:rPr>
          <w:b/>
          <w:bCs/>
          <w:sz w:val="24"/>
          <w:szCs w:val="24"/>
        </w:rPr>
      </w:pPr>
      <w:r>
        <w:rPr>
          <w:b/>
          <w:bCs/>
          <w:sz w:val="24"/>
          <w:szCs w:val="24"/>
        </w:rPr>
        <w:t>2</w:t>
      </w:r>
      <w:r w:rsidR="005E1E3C" w:rsidRPr="00C603A9">
        <w:rPr>
          <w:b/>
          <w:bCs/>
          <w:sz w:val="24"/>
          <w:szCs w:val="24"/>
        </w:rPr>
        <w:t xml:space="preserve">.1 Settlements </w:t>
      </w:r>
    </w:p>
    <w:p w:rsidR="008B6D0C" w:rsidRPr="003E3DB7" w:rsidRDefault="00725D07" w:rsidP="00706476">
      <w:pPr>
        <w:jc w:val="both"/>
        <w:rPr>
          <w:rFonts w:cs="Times New Roman"/>
          <w:sz w:val="24"/>
          <w:szCs w:val="24"/>
        </w:rPr>
      </w:pPr>
      <w:r w:rsidRPr="00725D07">
        <w:rPr>
          <w:rFonts w:cs="Times New Roman"/>
          <w:sz w:val="24"/>
          <w:szCs w:val="24"/>
        </w:rPr>
        <w:t xml:space="preserve">There were </w:t>
      </w:r>
      <w:r w:rsidR="00421821">
        <w:rPr>
          <w:rFonts w:cs="Times New Roman"/>
          <w:sz w:val="24"/>
          <w:szCs w:val="24"/>
        </w:rPr>
        <w:t>151</w:t>
      </w:r>
      <w:r w:rsidRPr="00725D07">
        <w:rPr>
          <w:rFonts w:cs="Times New Roman"/>
          <w:sz w:val="24"/>
          <w:szCs w:val="24"/>
        </w:rPr>
        <w:t xml:space="preserve"> settlements in the West Bank by the end of </w:t>
      </w:r>
      <w:r w:rsidR="00706476">
        <w:rPr>
          <w:rFonts w:cs="Times New Roman"/>
          <w:sz w:val="24"/>
          <w:szCs w:val="24"/>
        </w:rPr>
        <w:t>2020</w:t>
      </w:r>
      <w:r w:rsidRPr="00725D07">
        <w:rPr>
          <w:rFonts w:cs="Times New Roman"/>
          <w:sz w:val="24"/>
          <w:szCs w:val="24"/>
        </w:rPr>
        <w:t>; of which 26 settlements were in Jerusalem governorate distributed as follows: 16 settlements in Jerusalem (J1), and 10 settlements in Jerusalem (J2). (See Table 2)</w:t>
      </w:r>
      <w:r w:rsidR="008B6D0C" w:rsidRPr="003E3DB7">
        <w:rPr>
          <w:rFonts w:cs="Times New Roman"/>
          <w:sz w:val="24"/>
          <w:szCs w:val="24"/>
        </w:rPr>
        <w:t>.</w:t>
      </w:r>
    </w:p>
    <w:p w:rsidR="005E1E3C" w:rsidRPr="00147754" w:rsidRDefault="00D3146B" w:rsidP="00D3146B">
      <w:pPr>
        <w:tabs>
          <w:tab w:val="left" w:pos="5130"/>
        </w:tabs>
        <w:ind w:left="142"/>
        <w:rPr>
          <w:rFonts w:ascii="Arial" w:hAnsi="Arial" w:cs="Arial"/>
          <w:b/>
          <w:bCs/>
          <w:sz w:val="24"/>
          <w:szCs w:val="24"/>
        </w:rPr>
      </w:pPr>
      <w:r w:rsidRPr="00147754">
        <w:rPr>
          <w:rFonts w:ascii="Arial" w:hAnsi="Arial" w:cs="Arial"/>
          <w:b/>
          <w:bCs/>
          <w:sz w:val="24"/>
          <w:szCs w:val="24"/>
        </w:rPr>
        <w:tab/>
      </w:r>
    </w:p>
    <w:p w:rsidR="005E1E3C" w:rsidRPr="00C603A9" w:rsidRDefault="005E1E3C" w:rsidP="00C20D7F">
      <w:pPr>
        <w:jc w:val="center"/>
        <w:rPr>
          <w:rFonts w:ascii="Arial" w:hAnsi="Arial" w:cs="Arial"/>
          <w:b/>
          <w:bCs/>
          <w:sz w:val="22"/>
          <w:szCs w:val="22"/>
        </w:rPr>
      </w:pPr>
      <w:r w:rsidRPr="00C603A9">
        <w:rPr>
          <w:rFonts w:ascii="Arial" w:hAnsi="Arial" w:cs="Arial"/>
          <w:b/>
          <w:bCs/>
          <w:sz w:val="22"/>
          <w:szCs w:val="22"/>
        </w:rPr>
        <w:t xml:space="preserve">Number of </w:t>
      </w:r>
      <w:r w:rsidR="003E046E" w:rsidRPr="003E046E">
        <w:rPr>
          <w:rFonts w:ascii="Arial" w:hAnsi="Arial" w:cs="Arial"/>
          <w:b/>
          <w:bCs/>
          <w:sz w:val="22"/>
          <w:szCs w:val="22"/>
        </w:rPr>
        <w:t>Israeli</w:t>
      </w:r>
      <w:r w:rsidR="003E046E" w:rsidRPr="00C603A9">
        <w:rPr>
          <w:b/>
          <w:bCs/>
          <w:sz w:val="40"/>
          <w:szCs w:val="40"/>
        </w:rPr>
        <w:t xml:space="preserve"> </w:t>
      </w:r>
      <w:r w:rsidRPr="00C603A9">
        <w:rPr>
          <w:rFonts w:ascii="Arial" w:hAnsi="Arial" w:cs="Arial"/>
          <w:b/>
          <w:bCs/>
          <w:sz w:val="22"/>
          <w:szCs w:val="22"/>
        </w:rPr>
        <w:t xml:space="preserve">Settlements in the West Bank, by Governorate, </w:t>
      </w:r>
      <w:r w:rsidR="00C20D7F">
        <w:rPr>
          <w:rFonts w:cs="Times New Roman"/>
          <w:b/>
          <w:bCs/>
          <w:sz w:val="24"/>
          <w:szCs w:val="24"/>
        </w:rPr>
        <w:t>2020</w:t>
      </w:r>
    </w:p>
    <w:tbl>
      <w:tblPr>
        <w:tblStyle w:val="TableGrid"/>
        <w:tblW w:w="0" w:type="auto"/>
        <w:jc w:val="center"/>
        <w:tblLook w:val="04A0" w:firstRow="1" w:lastRow="0" w:firstColumn="1" w:lastColumn="0" w:noHBand="0" w:noVBand="1"/>
      </w:tblPr>
      <w:tblGrid>
        <w:gridCol w:w="8721"/>
      </w:tblGrid>
      <w:tr w:rsidR="001116A1" w:rsidTr="00345066">
        <w:trPr>
          <w:trHeight w:val="4048"/>
          <w:jc w:val="center"/>
        </w:trPr>
        <w:tc>
          <w:tcPr>
            <w:tcW w:w="8701" w:type="dxa"/>
            <w:vAlign w:val="center"/>
          </w:tcPr>
          <w:p w:rsidR="001116A1" w:rsidRDefault="001116A1" w:rsidP="001116A1">
            <w:pPr>
              <w:jc w:val="center"/>
              <w:rPr>
                <w:rFonts w:ascii="Arial" w:hAnsi="Arial" w:cs="Arial"/>
                <w:b/>
                <w:bCs/>
                <w:sz w:val="24"/>
                <w:szCs w:val="24"/>
                <w:rtl/>
              </w:rPr>
            </w:pPr>
            <w:r w:rsidRPr="001116A1">
              <w:rPr>
                <w:rFonts w:ascii="Arial" w:hAnsi="Arial" w:cs="Arial"/>
                <w:b/>
                <w:bCs/>
                <w:noProof/>
                <w:sz w:val="24"/>
                <w:szCs w:val="24"/>
                <w:rtl/>
              </w:rPr>
              <w:drawing>
                <wp:inline distT="0" distB="0" distL="0" distR="0">
                  <wp:extent cx="5400675" cy="2619375"/>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067F02" w:rsidRPr="00C603A9" w:rsidRDefault="00067F02" w:rsidP="00067F02">
      <w:pPr>
        <w:jc w:val="lowKashida"/>
        <w:rPr>
          <w:b/>
          <w:bCs/>
          <w:sz w:val="24"/>
          <w:szCs w:val="24"/>
        </w:rPr>
      </w:pPr>
    </w:p>
    <w:p w:rsidR="005E1E3C" w:rsidRPr="00C603A9" w:rsidRDefault="00BC1C6F" w:rsidP="000A6E15">
      <w:pPr>
        <w:jc w:val="lowKashida"/>
        <w:rPr>
          <w:b/>
          <w:bCs/>
          <w:sz w:val="24"/>
          <w:szCs w:val="24"/>
        </w:rPr>
      </w:pPr>
      <w:r>
        <w:rPr>
          <w:b/>
          <w:bCs/>
          <w:sz w:val="24"/>
          <w:szCs w:val="24"/>
        </w:rPr>
        <w:t>2</w:t>
      </w:r>
      <w:r w:rsidR="005E1E3C" w:rsidRPr="00C603A9">
        <w:rPr>
          <w:b/>
          <w:bCs/>
          <w:sz w:val="24"/>
          <w:szCs w:val="24"/>
        </w:rPr>
        <w:t xml:space="preserve">.2 </w:t>
      </w:r>
      <w:r w:rsidR="000A6E15" w:rsidRPr="000A6E15">
        <w:rPr>
          <w:b/>
          <w:bCs/>
          <w:sz w:val="24"/>
          <w:szCs w:val="24"/>
        </w:rPr>
        <w:t>Number of Settlers</w:t>
      </w:r>
    </w:p>
    <w:p w:rsidR="0094292C" w:rsidRDefault="00725D07" w:rsidP="00706476">
      <w:pPr>
        <w:jc w:val="both"/>
        <w:rPr>
          <w:rFonts w:asciiTheme="majorBidi" w:hAnsiTheme="majorBidi" w:cstheme="majorBidi"/>
          <w:sz w:val="28"/>
          <w:szCs w:val="28"/>
        </w:rPr>
      </w:pPr>
      <w:r w:rsidRPr="00725D07">
        <w:rPr>
          <w:rFonts w:asciiTheme="majorBidi" w:hAnsiTheme="majorBidi" w:cstheme="majorBidi"/>
          <w:sz w:val="24"/>
          <w:szCs w:val="24"/>
        </w:rPr>
        <w:t xml:space="preserve">Data indicates that there were </w:t>
      </w:r>
      <w:r w:rsidR="00706476">
        <w:rPr>
          <w:rFonts w:asciiTheme="majorBidi" w:hAnsiTheme="majorBidi" w:cstheme="majorBidi"/>
          <w:sz w:val="24"/>
          <w:szCs w:val="24"/>
        </w:rPr>
        <w:t>712</w:t>
      </w:r>
      <w:r w:rsidRPr="00725D07">
        <w:rPr>
          <w:rFonts w:asciiTheme="majorBidi" w:hAnsiTheme="majorBidi" w:cstheme="majorBidi"/>
          <w:sz w:val="24"/>
          <w:szCs w:val="24"/>
        </w:rPr>
        <w:t>,</w:t>
      </w:r>
      <w:r w:rsidR="00706476">
        <w:rPr>
          <w:rFonts w:asciiTheme="majorBidi" w:hAnsiTheme="majorBidi" w:cstheme="majorBidi"/>
          <w:sz w:val="24"/>
          <w:szCs w:val="24"/>
        </w:rPr>
        <w:t>815</w:t>
      </w:r>
      <w:r w:rsidRPr="00725D07">
        <w:rPr>
          <w:rFonts w:asciiTheme="majorBidi" w:hAnsiTheme="majorBidi" w:cstheme="majorBidi"/>
          <w:sz w:val="24"/>
          <w:szCs w:val="24"/>
        </w:rPr>
        <w:t xml:space="preserve"> </w:t>
      </w:r>
      <w:r w:rsidRPr="00B739A7">
        <w:rPr>
          <w:rFonts w:cs="Times New Roman"/>
          <w:sz w:val="24"/>
          <w:szCs w:val="24"/>
        </w:rPr>
        <w:t>settlers</w:t>
      </w:r>
      <w:r w:rsidRPr="00725D07">
        <w:rPr>
          <w:rFonts w:asciiTheme="majorBidi" w:hAnsiTheme="majorBidi" w:cstheme="majorBidi"/>
          <w:sz w:val="24"/>
          <w:szCs w:val="24"/>
        </w:rPr>
        <w:t xml:space="preserve"> in the West Bank by the end of </w:t>
      </w:r>
      <w:r w:rsidR="00706476">
        <w:rPr>
          <w:rFonts w:asciiTheme="majorBidi" w:hAnsiTheme="majorBidi" w:cstheme="majorBidi"/>
          <w:sz w:val="24"/>
          <w:szCs w:val="24"/>
        </w:rPr>
        <w:t>2020</w:t>
      </w:r>
      <w:r w:rsidRPr="00725D07">
        <w:rPr>
          <w:rFonts w:asciiTheme="majorBidi" w:hAnsiTheme="majorBidi" w:cstheme="majorBidi"/>
          <w:sz w:val="24"/>
          <w:szCs w:val="24"/>
        </w:rPr>
        <w:t>. The majority of those settlers (</w:t>
      </w:r>
      <w:r w:rsidR="00706476">
        <w:rPr>
          <w:rFonts w:asciiTheme="majorBidi" w:hAnsiTheme="majorBidi" w:cstheme="majorBidi"/>
          <w:sz w:val="24"/>
          <w:szCs w:val="24"/>
        </w:rPr>
        <w:t>332</w:t>
      </w:r>
      <w:r w:rsidRPr="00725D07">
        <w:rPr>
          <w:rFonts w:asciiTheme="majorBidi" w:hAnsiTheme="majorBidi" w:cstheme="majorBidi"/>
          <w:sz w:val="24"/>
          <w:szCs w:val="24"/>
        </w:rPr>
        <w:t>,</w:t>
      </w:r>
      <w:r w:rsidR="00706476">
        <w:rPr>
          <w:rFonts w:asciiTheme="majorBidi" w:hAnsiTheme="majorBidi" w:cstheme="majorBidi"/>
          <w:sz w:val="24"/>
          <w:szCs w:val="24"/>
        </w:rPr>
        <w:t>294</w:t>
      </w:r>
      <w:r w:rsidRPr="00725D07">
        <w:rPr>
          <w:rFonts w:asciiTheme="majorBidi" w:hAnsiTheme="majorBidi" w:cstheme="majorBidi"/>
          <w:sz w:val="24"/>
          <w:szCs w:val="24"/>
        </w:rPr>
        <w:t xml:space="preserve">) live in Jerusalem governorate. This figure comprises </w:t>
      </w:r>
      <w:r w:rsidR="00706476">
        <w:rPr>
          <w:rFonts w:asciiTheme="majorBidi" w:hAnsiTheme="majorBidi" w:cstheme="majorBidi"/>
          <w:sz w:val="24"/>
          <w:szCs w:val="24"/>
        </w:rPr>
        <w:t>246</w:t>
      </w:r>
      <w:r w:rsidRPr="00725D07">
        <w:rPr>
          <w:rFonts w:asciiTheme="majorBidi" w:hAnsiTheme="majorBidi" w:cstheme="majorBidi"/>
          <w:sz w:val="24"/>
          <w:szCs w:val="24"/>
        </w:rPr>
        <w:t>,</w:t>
      </w:r>
      <w:r w:rsidR="00706476">
        <w:rPr>
          <w:rFonts w:asciiTheme="majorBidi" w:hAnsiTheme="majorBidi" w:cstheme="majorBidi"/>
          <w:sz w:val="24"/>
          <w:szCs w:val="24"/>
        </w:rPr>
        <w:t>909</w:t>
      </w:r>
      <w:r w:rsidRPr="00725D07">
        <w:rPr>
          <w:rFonts w:asciiTheme="majorBidi" w:hAnsiTheme="majorBidi" w:cstheme="majorBidi"/>
          <w:sz w:val="24"/>
          <w:szCs w:val="24"/>
        </w:rPr>
        <w:t xml:space="preserve"> settlers within Jerusalem governorate (J1). (See Table 3)</w:t>
      </w:r>
    </w:p>
    <w:p w:rsidR="00725D07" w:rsidRPr="00147754" w:rsidRDefault="00725D07" w:rsidP="00777064">
      <w:pPr>
        <w:rPr>
          <w:rFonts w:asciiTheme="majorBidi" w:hAnsiTheme="majorBidi" w:cstheme="majorBidi"/>
          <w:sz w:val="28"/>
          <w:szCs w:val="28"/>
        </w:rPr>
      </w:pPr>
    </w:p>
    <w:p w:rsidR="005E1E3C" w:rsidRPr="00C603A9" w:rsidRDefault="005E1E3C" w:rsidP="00C20D7F">
      <w:pPr>
        <w:jc w:val="center"/>
        <w:rPr>
          <w:rFonts w:ascii="Arial" w:hAnsi="Arial" w:cs="Arial"/>
          <w:b/>
          <w:bCs/>
          <w:sz w:val="22"/>
          <w:szCs w:val="22"/>
          <w:rtl/>
          <w:lang w:val="en-GB"/>
        </w:rPr>
      </w:pPr>
      <w:r w:rsidRPr="00C603A9">
        <w:rPr>
          <w:rFonts w:ascii="Arial" w:hAnsi="Arial" w:cs="Arial"/>
          <w:b/>
          <w:bCs/>
          <w:sz w:val="22"/>
          <w:szCs w:val="22"/>
        </w:rPr>
        <w:t xml:space="preserve">Number of Settlers </w:t>
      </w:r>
      <w:r w:rsidR="004B47EA">
        <w:rPr>
          <w:rFonts w:ascii="Arial" w:hAnsi="Arial" w:cs="Arial"/>
          <w:b/>
          <w:bCs/>
          <w:sz w:val="22"/>
          <w:szCs w:val="22"/>
        </w:rPr>
        <w:t xml:space="preserve">(in </w:t>
      </w:r>
      <w:r w:rsidR="004B47EA" w:rsidRPr="004B47EA">
        <w:rPr>
          <w:rFonts w:ascii="Arial" w:hAnsi="Arial" w:cs="Arial"/>
          <w:b/>
          <w:bCs/>
          <w:sz w:val="22"/>
          <w:szCs w:val="22"/>
        </w:rPr>
        <w:t>thousands</w:t>
      </w:r>
      <w:r w:rsidR="004B47EA">
        <w:rPr>
          <w:rFonts w:ascii="Arial" w:hAnsi="Arial" w:cs="Arial"/>
          <w:b/>
          <w:bCs/>
          <w:sz w:val="22"/>
          <w:szCs w:val="22"/>
        </w:rPr>
        <w:t xml:space="preserve">) </w:t>
      </w:r>
      <w:r w:rsidRPr="00C603A9">
        <w:rPr>
          <w:rFonts w:ascii="Arial" w:hAnsi="Arial" w:cs="Arial"/>
          <w:b/>
          <w:bCs/>
          <w:sz w:val="22"/>
          <w:szCs w:val="22"/>
        </w:rPr>
        <w:t xml:space="preserve">in the </w:t>
      </w:r>
      <w:r w:rsidR="003E046E" w:rsidRPr="003E046E">
        <w:rPr>
          <w:rFonts w:ascii="Arial" w:hAnsi="Arial" w:cs="Arial"/>
          <w:b/>
          <w:bCs/>
          <w:sz w:val="22"/>
          <w:szCs w:val="22"/>
        </w:rPr>
        <w:t>Israeli</w:t>
      </w:r>
      <w:r w:rsidR="003E046E" w:rsidRPr="00C603A9">
        <w:rPr>
          <w:b/>
          <w:bCs/>
          <w:sz w:val="40"/>
          <w:szCs w:val="40"/>
        </w:rPr>
        <w:t xml:space="preserve"> </w:t>
      </w:r>
      <w:r w:rsidRPr="00C603A9">
        <w:rPr>
          <w:rFonts w:ascii="Arial" w:hAnsi="Arial" w:cs="Arial"/>
          <w:b/>
          <w:bCs/>
          <w:sz w:val="22"/>
          <w:szCs w:val="22"/>
        </w:rPr>
        <w:t xml:space="preserve">Settlements in the West Bank, by Governorate, </w:t>
      </w:r>
      <w:r w:rsidR="00C20D7F">
        <w:rPr>
          <w:rFonts w:cs="Times New Roman"/>
          <w:b/>
          <w:bCs/>
          <w:sz w:val="24"/>
          <w:szCs w:val="24"/>
        </w:rPr>
        <w:t>2020</w:t>
      </w:r>
    </w:p>
    <w:tbl>
      <w:tblPr>
        <w:tblStyle w:val="TableGrid"/>
        <w:tblW w:w="0" w:type="auto"/>
        <w:jc w:val="center"/>
        <w:tblLook w:val="04A0" w:firstRow="1" w:lastRow="0" w:firstColumn="1" w:lastColumn="0" w:noHBand="0" w:noVBand="1"/>
      </w:tblPr>
      <w:tblGrid>
        <w:gridCol w:w="8897"/>
      </w:tblGrid>
      <w:tr w:rsidR="001116A1" w:rsidTr="00345066">
        <w:trPr>
          <w:trHeight w:val="4238"/>
          <w:jc w:val="center"/>
        </w:trPr>
        <w:tc>
          <w:tcPr>
            <w:tcW w:w="8897" w:type="dxa"/>
            <w:vAlign w:val="center"/>
          </w:tcPr>
          <w:p w:rsidR="001116A1" w:rsidRDefault="001116A1" w:rsidP="001116A1">
            <w:pPr>
              <w:jc w:val="center"/>
              <w:rPr>
                <w:rFonts w:cs="Times New Roman"/>
                <w:b/>
                <w:bCs/>
                <w:sz w:val="24"/>
                <w:szCs w:val="24"/>
              </w:rPr>
            </w:pPr>
            <w:r w:rsidRPr="001116A1">
              <w:rPr>
                <w:rFonts w:cs="Times New Roman"/>
                <w:b/>
                <w:bCs/>
                <w:noProof/>
                <w:sz w:val="24"/>
                <w:szCs w:val="24"/>
                <w:rtl/>
              </w:rPr>
              <w:drawing>
                <wp:inline distT="0" distB="0" distL="0" distR="0">
                  <wp:extent cx="5508000" cy="2469600"/>
                  <wp:effectExtent l="0" t="0" r="0" b="6985"/>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345066" w:rsidRDefault="00345066" w:rsidP="00067F02">
      <w:pPr>
        <w:jc w:val="lowKashida"/>
        <w:rPr>
          <w:b/>
          <w:bCs/>
          <w:sz w:val="24"/>
          <w:szCs w:val="24"/>
        </w:rPr>
      </w:pPr>
    </w:p>
    <w:p w:rsidR="00345066" w:rsidRDefault="00345066" w:rsidP="00067F02">
      <w:pPr>
        <w:jc w:val="lowKashida"/>
        <w:rPr>
          <w:b/>
          <w:bCs/>
          <w:sz w:val="24"/>
          <w:szCs w:val="24"/>
        </w:rPr>
      </w:pPr>
    </w:p>
    <w:p w:rsidR="00953976" w:rsidRPr="00C603A9" w:rsidRDefault="00BC1C6F" w:rsidP="00B83961">
      <w:pPr>
        <w:jc w:val="lowKashida"/>
        <w:rPr>
          <w:b/>
          <w:bCs/>
          <w:sz w:val="24"/>
          <w:szCs w:val="24"/>
        </w:rPr>
      </w:pPr>
      <w:r>
        <w:rPr>
          <w:b/>
          <w:bCs/>
          <w:sz w:val="24"/>
          <w:szCs w:val="24"/>
        </w:rPr>
        <w:t>2</w:t>
      </w:r>
      <w:r w:rsidR="005E1E3C" w:rsidRPr="00C603A9">
        <w:rPr>
          <w:b/>
          <w:bCs/>
          <w:sz w:val="24"/>
          <w:szCs w:val="24"/>
        </w:rPr>
        <w:t xml:space="preserve">.3 </w:t>
      </w:r>
      <w:r w:rsidR="00067F02" w:rsidRPr="00C603A9">
        <w:rPr>
          <w:b/>
          <w:bCs/>
          <w:sz w:val="24"/>
          <w:szCs w:val="24"/>
        </w:rPr>
        <w:t>Stages of Settlement</w:t>
      </w:r>
      <w:r w:rsidR="00B83961" w:rsidRPr="00B83961">
        <w:rPr>
          <w:b/>
          <w:bCs/>
          <w:sz w:val="24"/>
          <w:szCs w:val="24"/>
        </w:rPr>
        <w:t xml:space="preserve"> </w:t>
      </w:r>
    </w:p>
    <w:p w:rsidR="009E1D61" w:rsidRPr="002A1B19" w:rsidRDefault="009E1D61" w:rsidP="009E1D61">
      <w:pPr>
        <w:jc w:val="both"/>
        <w:rPr>
          <w:rFonts w:cs="Times New Roman"/>
          <w:sz w:val="24"/>
          <w:szCs w:val="24"/>
        </w:rPr>
      </w:pPr>
      <w:r w:rsidRPr="00B739A7">
        <w:rPr>
          <w:rFonts w:asciiTheme="majorBidi" w:hAnsiTheme="majorBidi" w:cstheme="majorBidi"/>
          <w:sz w:val="24"/>
          <w:szCs w:val="24"/>
        </w:rPr>
        <w:t>Stage</w:t>
      </w:r>
      <w:r w:rsidRPr="002A1B19">
        <w:rPr>
          <w:rFonts w:cs="Times New Roman"/>
          <w:sz w:val="24"/>
          <w:szCs w:val="24"/>
        </w:rPr>
        <w:t xml:space="preserve"> One (</w:t>
      </w:r>
      <w:r>
        <w:rPr>
          <w:rFonts w:cs="Times New Roman"/>
          <w:sz w:val="24"/>
          <w:szCs w:val="24"/>
        </w:rPr>
        <w:t>1967</w:t>
      </w:r>
      <w:r w:rsidRPr="002A1B19">
        <w:rPr>
          <w:rFonts w:cs="Times New Roman"/>
          <w:sz w:val="24"/>
          <w:szCs w:val="24"/>
        </w:rPr>
        <w:t>-</w:t>
      </w:r>
      <w:r>
        <w:rPr>
          <w:rFonts w:cs="Times New Roman"/>
          <w:sz w:val="24"/>
          <w:szCs w:val="24"/>
        </w:rPr>
        <w:t>1976</w:t>
      </w:r>
      <w:r w:rsidRPr="002A1B19">
        <w:rPr>
          <w:rFonts w:cs="Times New Roman"/>
          <w:sz w:val="24"/>
          <w:szCs w:val="24"/>
        </w:rPr>
        <w:t>): Building of settlements started selectively within a colonization policy based on quality, not quantity. Settlements</w:t>
      </w:r>
      <w:r>
        <w:rPr>
          <w:rFonts w:cs="Times New Roman"/>
          <w:sz w:val="24"/>
          <w:szCs w:val="24"/>
        </w:rPr>
        <w:t>,</w:t>
      </w:r>
      <w:r w:rsidRPr="002A1B19">
        <w:rPr>
          <w:rFonts w:cs="Times New Roman"/>
          <w:sz w:val="24"/>
          <w:szCs w:val="24"/>
        </w:rPr>
        <w:t xml:space="preserve"> in this stage</w:t>
      </w:r>
      <w:r>
        <w:rPr>
          <w:rFonts w:cs="Times New Roman"/>
          <w:sz w:val="24"/>
          <w:szCs w:val="24"/>
        </w:rPr>
        <w:t>,</w:t>
      </w:r>
      <w:r w:rsidRPr="002A1B19">
        <w:rPr>
          <w:rFonts w:cs="Times New Roman"/>
          <w:sz w:val="24"/>
          <w:szCs w:val="24"/>
        </w:rPr>
        <w:t xml:space="preserve"> were concentrated in Jerusalem and in the Jordan Valley, inspired by the Allon Plan.</w:t>
      </w:r>
    </w:p>
    <w:p w:rsidR="002A1B19" w:rsidRPr="002A1B19" w:rsidRDefault="002A1B19" w:rsidP="002A1B19">
      <w:pPr>
        <w:rPr>
          <w:rFonts w:cs="Times New Roman"/>
          <w:sz w:val="24"/>
          <w:szCs w:val="24"/>
        </w:rPr>
      </w:pPr>
    </w:p>
    <w:p w:rsidR="002A1B19" w:rsidRPr="002A1B19" w:rsidRDefault="009672B7" w:rsidP="009F3260">
      <w:pPr>
        <w:jc w:val="both"/>
        <w:rPr>
          <w:rFonts w:cs="Times New Roman"/>
          <w:sz w:val="24"/>
          <w:szCs w:val="24"/>
        </w:rPr>
      </w:pPr>
      <w:r w:rsidRPr="00B739A7">
        <w:rPr>
          <w:rFonts w:asciiTheme="majorBidi" w:hAnsiTheme="majorBidi" w:cstheme="majorBidi"/>
          <w:sz w:val="24"/>
          <w:szCs w:val="24"/>
        </w:rPr>
        <w:t>Stage</w:t>
      </w:r>
      <w:r>
        <w:rPr>
          <w:rFonts w:cs="Times New Roman"/>
          <w:sz w:val="24"/>
          <w:szCs w:val="24"/>
        </w:rPr>
        <w:t xml:space="preserve"> Two </w:t>
      </w:r>
      <w:r w:rsidR="002A1B19" w:rsidRPr="002A1B19">
        <w:rPr>
          <w:rFonts w:cs="Times New Roman"/>
          <w:sz w:val="24"/>
          <w:szCs w:val="24"/>
        </w:rPr>
        <w:t>(</w:t>
      </w:r>
      <w:r w:rsidR="009F3260">
        <w:rPr>
          <w:rFonts w:cs="Times New Roman"/>
          <w:sz w:val="24"/>
          <w:szCs w:val="24"/>
        </w:rPr>
        <w:t>1977</w:t>
      </w:r>
      <w:r w:rsidR="002A1B19" w:rsidRPr="002A1B19">
        <w:rPr>
          <w:rFonts w:cs="Times New Roman"/>
          <w:sz w:val="24"/>
          <w:szCs w:val="24"/>
        </w:rPr>
        <w:t>-</w:t>
      </w:r>
      <w:r w:rsidR="009F3260">
        <w:rPr>
          <w:rFonts w:cs="Times New Roman"/>
          <w:sz w:val="24"/>
          <w:szCs w:val="24"/>
        </w:rPr>
        <w:t>1984</w:t>
      </w:r>
      <w:r>
        <w:rPr>
          <w:rFonts w:cs="Times New Roman"/>
          <w:sz w:val="24"/>
          <w:szCs w:val="24"/>
        </w:rPr>
        <w:t>)</w:t>
      </w:r>
      <w:r w:rsidR="002A1B19" w:rsidRPr="002A1B19">
        <w:rPr>
          <w:rFonts w:cs="Times New Roman"/>
          <w:sz w:val="24"/>
          <w:szCs w:val="24"/>
        </w:rPr>
        <w:t xml:space="preserve">: During this stage, settlement movement grew greatly influencing and promoting the building and expansion of settlements. </w:t>
      </w:r>
    </w:p>
    <w:p w:rsidR="002A1B19" w:rsidRPr="002A1B19" w:rsidRDefault="002A1B19" w:rsidP="002A1B19">
      <w:pPr>
        <w:rPr>
          <w:rFonts w:cs="Times New Roman"/>
          <w:sz w:val="24"/>
          <w:szCs w:val="24"/>
        </w:rPr>
      </w:pPr>
      <w:r w:rsidRPr="002A1B19">
        <w:rPr>
          <w:rFonts w:cs="Times New Roman"/>
          <w:sz w:val="24"/>
          <w:szCs w:val="24"/>
        </w:rPr>
        <w:tab/>
      </w:r>
    </w:p>
    <w:p w:rsidR="002A1B19" w:rsidRPr="002A1B19" w:rsidRDefault="002A1B19" w:rsidP="00B739A7">
      <w:pPr>
        <w:jc w:val="both"/>
        <w:rPr>
          <w:rFonts w:cs="Times New Roman"/>
          <w:sz w:val="24"/>
          <w:szCs w:val="24"/>
        </w:rPr>
      </w:pPr>
      <w:r w:rsidRPr="002A1B19">
        <w:rPr>
          <w:rFonts w:cs="Times New Roman"/>
          <w:sz w:val="24"/>
          <w:szCs w:val="24"/>
        </w:rPr>
        <w:t>Stage Three (1985-1990): During this stage, colonialism accelerated and the number of settlements grew to match the pace of the first stage.</w:t>
      </w:r>
    </w:p>
    <w:p w:rsidR="002A1B19" w:rsidRPr="002A1B19" w:rsidRDefault="002A1B19" w:rsidP="002A1B19">
      <w:pPr>
        <w:rPr>
          <w:rFonts w:cs="Times New Roman"/>
          <w:sz w:val="24"/>
          <w:szCs w:val="24"/>
        </w:rPr>
      </w:pPr>
    </w:p>
    <w:p w:rsidR="009E1D61" w:rsidRPr="002A1B19" w:rsidRDefault="009E1D61" w:rsidP="009E1D61">
      <w:pPr>
        <w:jc w:val="both"/>
        <w:rPr>
          <w:rFonts w:cs="Times New Roman"/>
          <w:sz w:val="24"/>
          <w:szCs w:val="24"/>
        </w:rPr>
      </w:pPr>
      <w:r w:rsidRPr="002A1B19">
        <w:rPr>
          <w:rFonts w:cs="Times New Roman"/>
          <w:sz w:val="24"/>
          <w:szCs w:val="24"/>
        </w:rPr>
        <w:t>Stage Four (1991-</w:t>
      </w:r>
      <w:r>
        <w:rPr>
          <w:rFonts w:cs="Times New Roman"/>
          <w:sz w:val="24"/>
          <w:szCs w:val="24"/>
        </w:rPr>
        <w:t>2020</w:t>
      </w:r>
      <w:r w:rsidRPr="002A1B19">
        <w:rPr>
          <w:rFonts w:cs="Times New Roman"/>
          <w:sz w:val="24"/>
          <w:szCs w:val="24"/>
        </w:rPr>
        <w:t xml:space="preserve">): Israel expanded the existing settlements during this period to compensate for the lack of new settlements. Expansion was achieved through population growth and the establishment of new ‘neighborhoods’ within existing settlements. </w:t>
      </w:r>
    </w:p>
    <w:p w:rsidR="002A1B19" w:rsidRPr="002A1B19" w:rsidRDefault="002A1B19" w:rsidP="002A1B19">
      <w:pPr>
        <w:rPr>
          <w:rFonts w:cs="Times New Roman"/>
          <w:sz w:val="24"/>
          <w:szCs w:val="24"/>
        </w:rPr>
      </w:pPr>
    </w:p>
    <w:p w:rsidR="008B6D0C" w:rsidRPr="00C603A9" w:rsidRDefault="002A1B19" w:rsidP="00C20D7F">
      <w:pPr>
        <w:jc w:val="both"/>
        <w:rPr>
          <w:rFonts w:cs="Times New Roman"/>
          <w:sz w:val="24"/>
          <w:szCs w:val="24"/>
        </w:rPr>
      </w:pPr>
      <w:r w:rsidRPr="002A1B19">
        <w:rPr>
          <w:rFonts w:cs="Times New Roman"/>
          <w:sz w:val="24"/>
          <w:szCs w:val="24"/>
        </w:rPr>
        <w:t xml:space="preserve">The </w:t>
      </w:r>
      <w:r w:rsidRPr="00B739A7">
        <w:rPr>
          <w:rFonts w:asciiTheme="majorBidi" w:hAnsiTheme="majorBidi" w:cstheme="majorBidi"/>
          <w:sz w:val="24"/>
          <w:szCs w:val="24"/>
        </w:rPr>
        <w:t>overall</w:t>
      </w:r>
      <w:r w:rsidRPr="002A1B19">
        <w:rPr>
          <w:rFonts w:cs="Times New Roman"/>
          <w:sz w:val="24"/>
          <w:szCs w:val="24"/>
        </w:rPr>
        <w:t xml:space="preserve"> number of settlements has increased from one settlement in 1967 to </w:t>
      </w:r>
      <w:r w:rsidR="00421821">
        <w:rPr>
          <w:rFonts w:cs="Times New Roman"/>
          <w:sz w:val="24"/>
          <w:szCs w:val="24"/>
        </w:rPr>
        <w:t>151</w:t>
      </w:r>
      <w:r w:rsidRPr="002A1B19">
        <w:rPr>
          <w:rFonts w:cs="Times New Roman"/>
          <w:sz w:val="24"/>
          <w:szCs w:val="24"/>
        </w:rPr>
        <w:t xml:space="preserve"> settlements in </w:t>
      </w:r>
      <w:r w:rsidR="00C20D7F">
        <w:rPr>
          <w:rFonts w:cs="Times New Roman"/>
          <w:sz w:val="24"/>
          <w:szCs w:val="24"/>
        </w:rPr>
        <w:t>2020</w:t>
      </w:r>
      <w:r w:rsidRPr="002A1B19">
        <w:rPr>
          <w:rFonts w:cs="Times New Roman"/>
          <w:sz w:val="24"/>
          <w:szCs w:val="24"/>
        </w:rPr>
        <w:t xml:space="preserve">. (See Table 5) </w:t>
      </w:r>
      <w:r w:rsidR="008B6D0C" w:rsidRPr="00C603A9">
        <w:rPr>
          <w:rFonts w:cs="Times New Roman"/>
          <w:sz w:val="24"/>
          <w:szCs w:val="24"/>
        </w:rPr>
        <w:t xml:space="preserve"> </w:t>
      </w:r>
    </w:p>
    <w:p w:rsidR="005B0C6B" w:rsidRPr="00147754" w:rsidRDefault="005B0C6B" w:rsidP="005B0C6B">
      <w:pPr>
        <w:jc w:val="center"/>
        <w:rPr>
          <w:rFonts w:ascii="Arial" w:hAnsi="Arial" w:cs="Arial"/>
          <w:b/>
          <w:bCs/>
          <w:sz w:val="28"/>
          <w:szCs w:val="28"/>
        </w:rPr>
      </w:pPr>
    </w:p>
    <w:p w:rsidR="005B0C6B" w:rsidRPr="00EB427A" w:rsidRDefault="00595E20" w:rsidP="003E046E">
      <w:pPr>
        <w:jc w:val="center"/>
        <w:rPr>
          <w:rFonts w:ascii="Arial" w:hAnsi="Arial" w:cs="Simplified Arabic"/>
          <w:b/>
          <w:bCs/>
          <w:sz w:val="22"/>
          <w:szCs w:val="22"/>
        </w:rPr>
      </w:pPr>
      <w:r w:rsidRPr="00EB427A">
        <w:rPr>
          <w:rFonts w:ascii="Arial" w:hAnsi="Arial" w:cs="Arial"/>
          <w:b/>
          <w:bCs/>
          <w:sz w:val="22"/>
          <w:szCs w:val="22"/>
        </w:rPr>
        <w:t xml:space="preserve">Number </w:t>
      </w:r>
      <w:r w:rsidR="005B0C6B" w:rsidRPr="00EB427A">
        <w:rPr>
          <w:rFonts w:ascii="Arial" w:hAnsi="Arial" w:cs="Arial"/>
          <w:b/>
          <w:bCs/>
          <w:sz w:val="22"/>
          <w:szCs w:val="22"/>
        </w:rPr>
        <w:t xml:space="preserve">of Settlers in the </w:t>
      </w:r>
      <w:r w:rsidR="003E046E" w:rsidRPr="003E046E">
        <w:rPr>
          <w:rFonts w:ascii="Arial" w:hAnsi="Arial" w:cs="Arial"/>
          <w:b/>
          <w:bCs/>
          <w:sz w:val="22"/>
          <w:szCs w:val="22"/>
        </w:rPr>
        <w:t>Israeli</w:t>
      </w:r>
      <w:r w:rsidR="003E046E" w:rsidRPr="00C603A9">
        <w:rPr>
          <w:b/>
          <w:bCs/>
          <w:sz w:val="40"/>
          <w:szCs w:val="40"/>
        </w:rPr>
        <w:t xml:space="preserve"> </w:t>
      </w:r>
      <w:r w:rsidR="005B0C6B" w:rsidRPr="00EB427A">
        <w:rPr>
          <w:rFonts w:ascii="Arial" w:hAnsi="Arial" w:cs="Arial"/>
          <w:b/>
          <w:bCs/>
          <w:sz w:val="22"/>
          <w:szCs w:val="22"/>
        </w:rPr>
        <w:t xml:space="preserve">Settlements in the West Bank </w:t>
      </w:r>
      <w:r w:rsidR="00D31DE7">
        <w:rPr>
          <w:rFonts w:ascii="Arial" w:hAnsi="Arial" w:cs="Arial"/>
          <w:b/>
          <w:bCs/>
          <w:sz w:val="22"/>
          <w:szCs w:val="22"/>
        </w:rPr>
        <w:t xml:space="preserve">for </w:t>
      </w:r>
      <w:r w:rsidR="00EB427A" w:rsidRPr="00EB427A">
        <w:rPr>
          <w:rFonts w:ascii="Arial" w:hAnsi="Arial" w:cs="Arial"/>
          <w:b/>
          <w:bCs/>
          <w:sz w:val="22"/>
          <w:szCs w:val="22"/>
        </w:rPr>
        <w:t>Selected</w:t>
      </w:r>
      <w:r w:rsidR="005B0C6B" w:rsidRPr="00EB427A">
        <w:rPr>
          <w:rFonts w:ascii="Arial" w:hAnsi="Arial" w:cs="Arial"/>
          <w:b/>
          <w:bCs/>
          <w:sz w:val="22"/>
          <w:szCs w:val="22"/>
        </w:rPr>
        <w:t xml:space="preserve"> Year</w:t>
      </w:r>
      <w:r w:rsidR="00EB427A" w:rsidRPr="00EB427A">
        <w:rPr>
          <w:rFonts w:ascii="Arial" w:hAnsi="Arial" w:cs="Simplified Arabic"/>
          <w:b/>
          <w:bCs/>
          <w:sz w:val="22"/>
          <w:szCs w:val="22"/>
        </w:rPr>
        <w:t>s</w:t>
      </w:r>
    </w:p>
    <w:tbl>
      <w:tblPr>
        <w:tblStyle w:val="TableGrid"/>
        <w:tblW w:w="0" w:type="auto"/>
        <w:jc w:val="center"/>
        <w:tblLook w:val="04A0" w:firstRow="1" w:lastRow="0" w:firstColumn="1" w:lastColumn="0" w:noHBand="0" w:noVBand="1"/>
      </w:tblPr>
      <w:tblGrid>
        <w:gridCol w:w="8472"/>
      </w:tblGrid>
      <w:tr w:rsidR="00A12986" w:rsidTr="000944FF">
        <w:trPr>
          <w:trHeight w:val="3942"/>
          <w:jc w:val="center"/>
        </w:trPr>
        <w:tc>
          <w:tcPr>
            <w:tcW w:w="8472" w:type="dxa"/>
            <w:vAlign w:val="center"/>
          </w:tcPr>
          <w:p w:rsidR="00A12986" w:rsidRDefault="00A12986" w:rsidP="00A12986">
            <w:pPr>
              <w:jc w:val="center"/>
              <w:rPr>
                <w:rFonts w:ascii="Arial" w:hAnsi="Arial" w:cs="Simplified Arabic"/>
                <w:b/>
                <w:bCs/>
                <w:sz w:val="18"/>
                <w:szCs w:val="18"/>
                <w:rtl/>
              </w:rPr>
            </w:pPr>
            <w:r w:rsidRPr="00A12986">
              <w:rPr>
                <w:rFonts w:ascii="Arial" w:hAnsi="Arial" w:cs="Simplified Arabic"/>
                <w:b/>
                <w:bCs/>
                <w:noProof/>
                <w:sz w:val="18"/>
                <w:szCs w:val="18"/>
                <w:rtl/>
              </w:rPr>
              <w:drawing>
                <wp:inline distT="0" distB="0" distL="0" distR="0">
                  <wp:extent cx="5237259" cy="2149475"/>
                  <wp:effectExtent l="0" t="0" r="1905" b="3175"/>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EB427A" w:rsidRDefault="00EB427A" w:rsidP="00EB427A">
      <w:pPr>
        <w:jc w:val="center"/>
        <w:rPr>
          <w:rFonts w:ascii="Arial" w:hAnsi="Arial" w:cs="Simplified Arabic"/>
          <w:b/>
          <w:bCs/>
          <w:sz w:val="18"/>
          <w:szCs w:val="18"/>
        </w:rPr>
      </w:pPr>
    </w:p>
    <w:p w:rsidR="00EB427A" w:rsidRPr="00595E20" w:rsidRDefault="00EB427A" w:rsidP="00EB427A">
      <w:pPr>
        <w:jc w:val="center"/>
        <w:rPr>
          <w:rFonts w:ascii="Arial" w:hAnsi="Arial" w:cs="Simplified Arabic"/>
          <w:b/>
          <w:bCs/>
          <w:sz w:val="18"/>
          <w:szCs w:val="18"/>
        </w:rPr>
      </w:pPr>
    </w:p>
    <w:p w:rsidR="005E1E3C" w:rsidRPr="00C603A9" w:rsidRDefault="00BC1C6F" w:rsidP="00067F02">
      <w:pPr>
        <w:jc w:val="lowKashida"/>
        <w:rPr>
          <w:b/>
          <w:bCs/>
          <w:sz w:val="24"/>
          <w:szCs w:val="24"/>
        </w:rPr>
      </w:pPr>
      <w:r>
        <w:rPr>
          <w:b/>
          <w:bCs/>
          <w:sz w:val="24"/>
          <w:szCs w:val="24"/>
        </w:rPr>
        <w:t>2</w:t>
      </w:r>
      <w:r w:rsidR="005E1E3C" w:rsidRPr="00C603A9">
        <w:rPr>
          <w:b/>
          <w:bCs/>
          <w:sz w:val="24"/>
          <w:szCs w:val="24"/>
        </w:rPr>
        <w:t xml:space="preserve">.4 </w:t>
      </w:r>
      <w:r w:rsidR="00067F02" w:rsidRPr="00C603A9">
        <w:rPr>
          <w:b/>
          <w:bCs/>
          <w:sz w:val="24"/>
          <w:szCs w:val="24"/>
        </w:rPr>
        <w:t>Nature of Settlement</w:t>
      </w:r>
      <w:r w:rsidR="00B83961">
        <w:rPr>
          <w:b/>
          <w:bCs/>
          <w:sz w:val="24"/>
          <w:szCs w:val="24"/>
        </w:rPr>
        <w:t>s</w:t>
      </w:r>
      <w:r w:rsidR="00067F02" w:rsidRPr="00C603A9">
        <w:rPr>
          <w:b/>
          <w:bCs/>
          <w:sz w:val="24"/>
          <w:szCs w:val="24"/>
        </w:rPr>
        <w:t xml:space="preserve"> in the West Bank</w:t>
      </w:r>
    </w:p>
    <w:p w:rsidR="009E1D61" w:rsidRPr="002A1B19" w:rsidRDefault="009E1D61" w:rsidP="009E1D61">
      <w:pPr>
        <w:jc w:val="both"/>
        <w:rPr>
          <w:rFonts w:cs="Times New Roman"/>
          <w:sz w:val="24"/>
          <w:szCs w:val="24"/>
        </w:rPr>
      </w:pPr>
      <w:r w:rsidRPr="002A1B19">
        <w:rPr>
          <w:rFonts w:cs="Times New Roman"/>
          <w:sz w:val="24"/>
          <w:szCs w:val="24"/>
        </w:rPr>
        <w:t xml:space="preserve">At the end of </w:t>
      </w:r>
      <w:r>
        <w:rPr>
          <w:rFonts w:cs="Times New Roman"/>
          <w:sz w:val="24"/>
          <w:szCs w:val="24"/>
        </w:rPr>
        <w:t>2020</w:t>
      </w:r>
      <w:r w:rsidRPr="002A1B19">
        <w:rPr>
          <w:rFonts w:cs="Times New Roman"/>
          <w:sz w:val="24"/>
          <w:szCs w:val="24"/>
        </w:rPr>
        <w:t xml:space="preserve">, there were </w:t>
      </w:r>
      <w:r>
        <w:rPr>
          <w:rFonts w:cs="Times New Roman"/>
          <w:sz w:val="24"/>
          <w:szCs w:val="24"/>
        </w:rPr>
        <w:t>64</w:t>
      </w:r>
      <w:r w:rsidRPr="002A1B19">
        <w:rPr>
          <w:rFonts w:cs="Times New Roman"/>
          <w:sz w:val="24"/>
          <w:szCs w:val="24"/>
        </w:rPr>
        <w:t xml:space="preserve"> urban settlements in the West Bank; of which 22 in Jerusalem governorate. Settlers in urban settlements represent around </w:t>
      </w:r>
      <w:r>
        <w:rPr>
          <w:rFonts w:cs="Times New Roman"/>
          <w:sz w:val="24"/>
          <w:szCs w:val="24"/>
        </w:rPr>
        <w:t>91</w:t>
      </w:r>
      <w:r w:rsidRPr="002A1B19">
        <w:rPr>
          <w:rFonts w:cs="Times New Roman"/>
          <w:sz w:val="24"/>
          <w:szCs w:val="24"/>
        </w:rPr>
        <w:t>% out of all settlers in the West Bank.</w:t>
      </w:r>
    </w:p>
    <w:p w:rsidR="002A1B19" w:rsidRPr="002A1B19" w:rsidRDefault="002A1B19" w:rsidP="002A1B19">
      <w:pPr>
        <w:jc w:val="lowKashida"/>
        <w:rPr>
          <w:rFonts w:cs="Times New Roman"/>
          <w:sz w:val="24"/>
          <w:szCs w:val="24"/>
        </w:rPr>
      </w:pPr>
    </w:p>
    <w:p w:rsidR="00345066" w:rsidRDefault="002A1B19" w:rsidP="00C20D7F">
      <w:pPr>
        <w:jc w:val="both"/>
        <w:rPr>
          <w:b/>
          <w:bCs/>
          <w:sz w:val="24"/>
          <w:szCs w:val="24"/>
        </w:rPr>
      </w:pPr>
      <w:r w:rsidRPr="002A1B19">
        <w:rPr>
          <w:rFonts w:cs="Times New Roman"/>
          <w:sz w:val="24"/>
          <w:szCs w:val="24"/>
        </w:rPr>
        <w:t xml:space="preserve">Additionally, there were </w:t>
      </w:r>
      <w:r w:rsidR="00C20D7F">
        <w:rPr>
          <w:rFonts w:cs="Times New Roman"/>
          <w:sz w:val="24"/>
          <w:szCs w:val="24"/>
        </w:rPr>
        <w:t>87</w:t>
      </w:r>
      <w:r w:rsidRPr="002A1B19">
        <w:rPr>
          <w:rFonts w:cs="Times New Roman"/>
          <w:sz w:val="24"/>
          <w:szCs w:val="24"/>
        </w:rPr>
        <w:t xml:space="preserve"> rural settlements in the West Bank; of which </w:t>
      </w:r>
      <w:r w:rsidR="00C20D7F">
        <w:rPr>
          <w:rFonts w:cs="Times New Roman"/>
          <w:sz w:val="24"/>
          <w:szCs w:val="24"/>
        </w:rPr>
        <w:t>40</w:t>
      </w:r>
      <w:r w:rsidRPr="002A1B19">
        <w:rPr>
          <w:rFonts w:cs="Times New Roman"/>
          <w:sz w:val="24"/>
          <w:szCs w:val="24"/>
        </w:rPr>
        <w:t xml:space="preserve"> are classified as </w:t>
      </w:r>
      <w:r w:rsidRPr="00B739A7">
        <w:rPr>
          <w:rFonts w:asciiTheme="majorBidi" w:hAnsiTheme="majorBidi" w:cstheme="majorBidi"/>
          <w:sz w:val="24"/>
          <w:szCs w:val="24"/>
        </w:rPr>
        <w:t>communal</w:t>
      </w:r>
      <w:r w:rsidRPr="002A1B19">
        <w:rPr>
          <w:rFonts w:cs="Times New Roman"/>
          <w:sz w:val="24"/>
          <w:szCs w:val="24"/>
        </w:rPr>
        <w:t xml:space="preserve"> settlements with a population of </w:t>
      </w:r>
      <w:r w:rsidR="00C20D7F">
        <w:rPr>
          <w:rFonts w:cs="Times New Roman"/>
          <w:sz w:val="24"/>
          <w:szCs w:val="24"/>
        </w:rPr>
        <w:t>41</w:t>
      </w:r>
      <w:r w:rsidRPr="002A1B19">
        <w:rPr>
          <w:rFonts w:cs="Times New Roman"/>
          <w:sz w:val="24"/>
          <w:szCs w:val="24"/>
        </w:rPr>
        <w:t>,</w:t>
      </w:r>
      <w:r w:rsidR="00C20D7F">
        <w:rPr>
          <w:rFonts w:cs="Times New Roman"/>
          <w:sz w:val="24"/>
          <w:szCs w:val="24"/>
        </w:rPr>
        <w:t>657</w:t>
      </w:r>
      <w:r w:rsidRPr="002A1B19">
        <w:rPr>
          <w:rFonts w:cs="Times New Roman"/>
          <w:sz w:val="24"/>
          <w:szCs w:val="24"/>
        </w:rPr>
        <w:t xml:space="preserve"> settlers, followed by Moshav settlements which are 17 settlements with a population of </w:t>
      </w:r>
      <w:r w:rsidR="00C20D7F">
        <w:rPr>
          <w:rFonts w:cs="Times New Roman"/>
          <w:sz w:val="24"/>
          <w:szCs w:val="24"/>
        </w:rPr>
        <w:t>6</w:t>
      </w:r>
      <w:r w:rsidRPr="002A1B19">
        <w:rPr>
          <w:rFonts w:cs="Times New Roman"/>
          <w:sz w:val="24"/>
          <w:szCs w:val="24"/>
        </w:rPr>
        <w:t>,</w:t>
      </w:r>
      <w:r w:rsidR="00C20D7F">
        <w:rPr>
          <w:rFonts w:cs="Times New Roman"/>
          <w:sz w:val="24"/>
          <w:szCs w:val="24"/>
        </w:rPr>
        <w:t>284</w:t>
      </w:r>
      <w:r w:rsidRPr="002A1B19">
        <w:rPr>
          <w:rFonts w:cs="Times New Roman"/>
          <w:sz w:val="24"/>
          <w:szCs w:val="24"/>
        </w:rPr>
        <w:t xml:space="preserve"> settlers. (See Tables 9 and 10)</w:t>
      </w:r>
    </w:p>
    <w:p w:rsidR="002A1B19" w:rsidRDefault="002A1B19" w:rsidP="002A1B19">
      <w:pPr>
        <w:jc w:val="lowKashida"/>
        <w:rPr>
          <w:b/>
          <w:bCs/>
          <w:sz w:val="24"/>
          <w:szCs w:val="24"/>
        </w:rPr>
      </w:pPr>
    </w:p>
    <w:p w:rsidR="004F1CDA" w:rsidRDefault="00272772" w:rsidP="004F1CDA">
      <w:pPr>
        <w:jc w:val="lowKashida"/>
        <w:rPr>
          <w:b/>
          <w:bCs/>
          <w:sz w:val="24"/>
          <w:szCs w:val="24"/>
        </w:rPr>
      </w:pPr>
      <w:r>
        <w:rPr>
          <w:b/>
          <w:bCs/>
          <w:sz w:val="24"/>
          <w:szCs w:val="24"/>
        </w:rPr>
        <w:t>2.5 Regional Councils</w:t>
      </w:r>
    </w:p>
    <w:p w:rsidR="006711C2" w:rsidRDefault="006711C2" w:rsidP="00B739A7">
      <w:pPr>
        <w:jc w:val="both"/>
        <w:rPr>
          <w:sz w:val="24"/>
          <w:szCs w:val="24"/>
        </w:rPr>
      </w:pPr>
      <w:r>
        <w:rPr>
          <w:sz w:val="24"/>
          <w:szCs w:val="24"/>
        </w:rPr>
        <w:t xml:space="preserve">The regional councils are administrative authorities encompassing a number of settlements. Such </w:t>
      </w:r>
      <w:r w:rsidRPr="00B739A7">
        <w:rPr>
          <w:rFonts w:asciiTheme="majorBidi" w:hAnsiTheme="majorBidi" w:cstheme="majorBidi"/>
          <w:sz w:val="24"/>
          <w:szCs w:val="24"/>
        </w:rPr>
        <w:t>councils</w:t>
      </w:r>
      <w:r>
        <w:rPr>
          <w:sz w:val="24"/>
          <w:szCs w:val="24"/>
        </w:rPr>
        <w:t xml:space="preserve"> are represented by Yesha which is a high council representing the settlers in the West Bank.  However, Yesha does not represent J</w:t>
      </w:r>
      <w:r w:rsidRPr="007E1E57">
        <w:rPr>
          <w:sz w:val="24"/>
          <w:szCs w:val="24"/>
        </w:rPr>
        <w:t>1</w:t>
      </w:r>
      <w:r>
        <w:rPr>
          <w:sz w:val="24"/>
          <w:szCs w:val="24"/>
        </w:rPr>
        <w:t xml:space="preserve"> or the other formal settlements annexed to Israel. </w:t>
      </w:r>
    </w:p>
    <w:p w:rsidR="006711C2" w:rsidRDefault="006711C2" w:rsidP="006711C2">
      <w:pPr>
        <w:jc w:val="lowKashida"/>
        <w:rPr>
          <w:sz w:val="24"/>
          <w:szCs w:val="24"/>
        </w:rPr>
      </w:pPr>
    </w:p>
    <w:p w:rsidR="006711C2" w:rsidRDefault="006711C2" w:rsidP="007E3175">
      <w:pPr>
        <w:jc w:val="both"/>
        <w:rPr>
          <w:sz w:val="24"/>
          <w:szCs w:val="24"/>
        </w:rPr>
      </w:pPr>
      <w:r>
        <w:rPr>
          <w:sz w:val="24"/>
          <w:szCs w:val="24"/>
        </w:rPr>
        <w:t xml:space="preserve">The following data represent the year </w:t>
      </w:r>
      <w:r w:rsidR="007E3175">
        <w:rPr>
          <w:sz w:val="24"/>
          <w:szCs w:val="24"/>
        </w:rPr>
        <w:t>2020</w:t>
      </w:r>
      <w:r>
        <w:rPr>
          <w:sz w:val="24"/>
          <w:szCs w:val="24"/>
        </w:rPr>
        <w:t>. There are 6 regional councils in the West Bank:</w:t>
      </w:r>
    </w:p>
    <w:p w:rsidR="006711C2" w:rsidRDefault="006711C2" w:rsidP="00C20D7F">
      <w:pPr>
        <w:numPr>
          <w:ilvl w:val="0"/>
          <w:numId w:val="9"/>
        </w:numPr>
        <w:tabs>
          <w:tab w:val="clear" w:pos="648"/>
        </w:tabs>
        <w:ind w:left="538" w:right="0" w:hanging="181"/>
        <w:jc w:val="both"/>
        <w:rPr>
          <w:sz w:val="24"/>
          <w:szCs w:val="24"/>
        </w:rPr>
      </w:pPr>
      <w:r>
        <w:rPr>
          <w:sz w:val="24"/>
          <w:szCs w:val="24"/>
        </w:rPr>
        <w:t xml:space="preserve">Shomeron: The number of settlements represented by this regional council is 35 with a population of </w:t>
      </w:r>
      <w:r w:rsidR="00C20D7F">
        <w:rPr>
          <w:sz w:val="24"/>
          <w:szCs w:val="24"/>
        </w:rPr>
        <w:t>110</w:t>
      </w:r>
      <w:r>
        <w:rPr>
          <w:sz w:val="24"/>
          <w:szCs w:val="24"/>
        </w:rPr>
        <w:t>,</w:t>
      </w:r>
      <w:r w:rsidR="00C20D7F">
        <w:rPr>
          <w:sz w:val="24"/>
          <w:szCs w:val="24"/>
        </w:rPr>
        <w:t>273</w:t>
      </w:r>
      <w:r>
        <w:rPr>
          <w:sz w:val="24"/>
          <w:szCs w:val="24"/>
        </w:rPr>
        <w:t xml:space="preserve"> settlers;</w:t>
      </w:r>
    </w:p>
    <w:p w:rsidR="006711C2" w:rsidRDefault="006711C2" w:rsidP="00C20D7F">
      <w:pPr>
        <w:numPr>
          <w:ilvl w:val="0"/>
          <w:numId w:val="9"/>
        </w:numPr>
        <w:tabs>
          <w:tab w:val="clear" w:pos="648"/>
        </w:tabs>
        <w:ind w:left="538" w:right="0" w:hanging="181"/>
        <w:jc w:val="both"/>
        <w:rPr>
          <w:sz w:val="24"/>
          <w:szCs w:val="24"/>
        </w:rPr>
      </w:pPr>
      <w:r>
        <w:rPr>
          <w:sz w:val="24"/>
          <w:szCs w:val="24"/>
        </w:rPr>
        <w:t>Arvot Ha Yarden (The Jordan Valley): The number of settlements represented by this regional council is 19 with a population of 6,</w:t>
      </w:r>
      <w:r w:rsidR="00C20D7F">
        <w:rPr>
          <w:sz w:val="24"/>
          <w:szCs w:val="24"/>
        </w:rPr>
        <w:t>330</w:t>
      </w:r>
      <w:r>
        <w:rPr>
          <w:sz w:val="24"/>
          <w:szCs w:val="24"/>
        </w:rPr>
        <w:t xml:space="preserve"> settlers;</w:t>
      </w:r>
    </w:p>
    <w:p w:rsidR="006711C2" w:rsidRDefault="006711C2" w:rsidP="00C20D7F">
      <w:pPr>
        <w:numPr>
          <w:ilvl w:val="0"/>
          <w:numId w:val="9"/>
        </w:numPr>
        <w:tabs>
          <w:tab w:val="clear" w:pos="648"/>
        </w:tabs>
        <w:ind w:left="538" w:right="0" w:hanging="181"/>
        <w:jc w:val="both"/>
        <w:rPr>
          <w:sz w:val="24"/>
          <w:szCs w:val="24"/>
        </w:rPr>
      </w:pPr>
      <w:r>
        <w:rPr>
          <w:sz w:val="24"/>
          <w:szCs w:val="24"/>
        </w:rPr>
        <w:t xml:space="preserve">Matte Binyamin: This council represents 32 settlements with a population of </w:t>
      </w:r>
      <w:r w:rsidR="00C20D7F">
        <w:rPr>
          <w:sz w:val="24"/>
          <w:szCs w:val="24"/>
        </w:rPr>
        <w:t>214</w:t>
      </w:r>
      <w:r>
        <w:rPr>
          <w:sz w:val="24"/>
          <w:szCs w:val="24"/>
        </w:rPr>
        <w:t>,</w:t>
      </w:r>
      <w:r w:rsidR="00C20D7F">
        <w:rPr>
          <w:sz w:val="24"/>
          <w:szCs w:val="24"/>
        </w:rPr>
        <w:t>420</w:t>
      </w:r>
      <w:r>
        <w:rPr>
          <w:sz w:val="24"/>
          <w:szCs w:val="24"/>
        </w:rPr>
        <w:t xml:space="preserve"> settlers;</w:t>
      </w:r>
    </w:p>
    <w:p w:rsidR="006711C2" w:rsidRDefault="006711C2" w:rsidP="00C20D7F">
      <w:pPr>
        <w:numPr>
          <w:ilvl w:val="0"/>
          <w:numId w:val="9"/>
        </w:numPr>
        <w:tabs>
          <w:tab w:val="clear" w:pos="648"/>
        </w:tabs>
        <w:ind w:left="538" w:right="0" w:hanging="181"/>
        <w:jc w:val="both"/>
        <w:rPr>
          <w:sz w:val="24"/>
          <w:szCs w:val="24"/>
        </w:rPr>
      </w:pPr>
      <w:r>
        <w:rPr>
          <w:sz w:val="24"/>
          <w:szCs w:val="24"/>
        </w:rPr>
        <w:t>Megilliot: The number of settlements represented by this regional council is 5 with a population of 1,</w:t>
      </w:r>
      <w:r w:rsidR="00C20D7F">
        <w:rPr>
          <w:sz w:val="24"/>
          <w:szCs w:val="24"/>
        </w:rPr>
        <w:t>713</w:t>
      </w:r>
      <w:r>
        <w:rPr>
          <w:sz w:val="24"/>
          <w:szCs w:val="24"/>
        </w:rPr>
        <w:t xml:space="preserve"> settlers;</w:t>
      </w:r>
    </w:p>
    <w:p w:rsidR="006711C2" w:rsidRDefault="006711C2" w:rsidP="00C20D7F">
      <w:pPr>
        <w:numPr>
          <w:ilvl w:val="0"/>
          <w:numId w:val="9"/>
        </w:numPr>
        <w:tabs>
          <w:tab w:val="clear" w:pos="648"/>
        </w:tabs>
        <w:ind w:left="538" w:right="0" w:hanging="181"/>
        <w:jc w:val="both"/>
        <w:rPr>
          <w:sz w:val="24"/>
          <w:szCs w:val="24"/>
        </w:rPr>
      </w:pPr>
      <w:r>
        <w:rPr>
          <w:sz w:val="24"/>
          <w:szCs w:val="24"/>
        </w:rPr>
        <w:t xml:space="preserve">Gosh Ezyon: This council represents 16 settlements with a population of </w:t>
      </w:r>
      <w:r w:rsidR="00C20D7F">
        <w:rPr>
          <w:sz w:val="24"/>
          <w:szCs w:val="24"/>
        </w:rPr>
        <w:t>97</w:t>
      </w:r>
      <w:r>
        <w:rPr>
          <w:sz w:val="24"/>
          <w:szCs w:val="24"/>
        </w:rPr>
        <w:t>,</w:t>
      </w:r>
      <w:r w:rsidR="00C20D7F">
        <w:rPr>
          <w:sz w:val="24"/>
          <w:szCs w:val="24"/>
        </w:rPr>
        <w:t>465</w:t>
      </w:r>
      <w:r>
        <w:rPr>
          <w:sz w:val="24"/>
          <w:szCs w:val="24"/>
        </w:rPr>
        <w:t xml:space="preserve"> settlers;</w:t>
      </w:r>
    </w:p>
    <w:p w:rsidR="006711C2" w:rsidRPr="008B6D0C" w:rsidRDefault="006711C2" w:rsidP="00C20D7F">
      <w:pPr>
        <w:numPr>
          <w:ilvl w:val="0"/>
          <w:numId w:val="9"/>
        </w:numPr>
        <w:tabs>
          <w:tab w:val="clear" w:pos="648"/>
        </w:tabs>
        <w:ind w:left="538" w:right="0" w:hanging="181"/>
        <w:jc w:val="both"/>
        <w:rPr>
          <w:rFonts w:cs="Times New Roman"/>
          <w:sz w:val="24"/>
          <w:szCs w:val="24"/>
        </w:rPr>
      </w:pPr>
      <w:r w:rsidRPr="008B6D0C">
        <w:rPr>
          <w:rFonts w:cs="Times New Roman"/>
          <w:sz w:val="24"/>
          <w:szCs w:val="24"/>
        </w:rPr>
        <w:t>Har Hevron (Mount Hebron): This council represents 15 formal settlements with a population of 16,</w:t>
      </w:r>
      <w:r w:rsidR="00C20D7F">
        <w:rPr>
          <w:rFonts w:cs="Times New Roman"/>
          <w:sz w:val="24"/>
          <w:szCs w:val="24"/>
        </w:rPr>
        <w:t>755</w:t>
      </w:r>
      <w:r w:rsidRPr="008B6D0C">
        <w:rPr>
          <w:rFonts w:cs="Times New Roman"/>
          <w:sz w:val="24"/>
          <w:szCs w:val="24"/>
        </w:rPr>
        <w:t xml:space="preserve"> settlers</w:t>
      </w:r>
      <w:r>
        <w:rPr>
          <w:rFonts w:cs="Times New Roman"/>
          <w:sz w:val="24"/>
          <w:szCs w:val="24"/>
        </w:rPr>
        <w:t>.</w:t>
      </w:r>
      <w:r w:rsidRPr="008B6D0C">
        <w:rPr>
          <w:rFonts w:cs="Times New Roman"/>
          <w:sz w:val="24"/>
          <w:szCs w:val="24"/>
        </w:rPr>
        <w:t xml:space="preserve"> (</w:t>
      </w:r>
      <w:r>
        <w:rPr>
          <w:rFonts w:cs="Times New Roman"/>
          <w:sz w:val="24"/>
          <w:szCs w:val="24"/>
        </w:rPr>
        <w:t>S</w:t>
      </w:r>
      <w:r w:rsidRPr="008B6D0C">
        <w:rPr>
          <w:rFonts w:cs="Times New Roman"/>
          <w:sz w:val="24"/>
          <w:szCs w:val="24"/>
        </w:rPr>
        <w:t xml:space="preserve">ee </w:t>
      </w:r>
      <w:r>
        <w:rPr>
          <w:rFonts w:cs="Times New Roman"/>
          <w:sz w:val="24"/>
          <w:szCs w:val="24"/>
        </w:rPr>
        <w:t>T</w:t>
      </w:r>
      <w:r w:rsidRPr="008B6D0C">
        <w:rPr>
          <w:rFonts w:cs="Times New Roman"/>
          <w:sz w:val="24"/>
          <w:szCs w:val="24"/>
        </w:rPr>
        <w:t>ables 15 and</w:t>
      </w:r>
      <w:r>
        <w:rPr>
          <w:rFonts w:cs="Times New Roman"/>
          <w:sz w:val="24"/>
          <w:szCs w:val="24"/>
        </w:rPr>
        <w:t xml:space="preserve"> </w:t>
      </w:r>
      <w:r w:rsidRPr="008B6D0C">
        <w:rPr>
          <w:rFonts w:cs="Times New Roman"/>
          <w:sz w:val="24"/>
          <w:szCs w:val="24"/>
        </w:rPr>
        <w:t>16)</w:t>
      </w:r>
    </w:p>
    <w:p w:rsidR="004F1CDA" w:rsidRDefault="004F1CDA" w:rsidP="00067F02">
      <w:pPr>
        <w:ind w:left="45"/>
        <w:jc w:val="lowKashida"/>
        <w:rPr>
          <w:b/>
          <w:bCs/>
          <w:sz w:val="24"/>
          <w:szCs w:val="24"/>
        </w:rPr>
      </w:pPr>
    </w:p>
    <w:p w:rsidR="005E1E3C" w:rsidRPr="00C603A9" w:rsidRDefault="00BC1C6F" w:rsidP="00F91174">
      <w:pPr>
        <w:jc w:val="lowKashida"/>
        <w:rPr>
          <w:b/>
          <w:bCs/>
          <w:sz w:val="24"/>
          <w:szCs w:val="24"/>
        </w:rPr>
      </w:pPr>
      <w:r>
        <w:rPr>
          <w:b/>
          <w:bCs/>
          <w:sz w:val="24"/>
          <w:szCs w:val="24"/>
        </w:rPr>
        <w:t>2</w:t>
      </w:r>
      <w:r w:rsidR="005E1E3C" w:rsidRPr="00C603A9">
        <w:rPr>
          <w:b/>
          <w:bCs/>
          <w:sz w:val="24"/>
          <w:szCs w:val="24"/>
        </w:rPr>
        <w:t>.</w:t>
      </w:r>
      <w:r w:rsidR="004F1CDA">
        <w:rPr>
          <w:b/>
          <w:bCs/>
          <w:sz w:val="24"/>
          <w:szCs w:val="24"/>
        </w:rPr>
        <w:t>6</w:t>
      </w:r>
      <w:r w:rsidR="005E1E3C" w:rsidRPr="00C603A9">
        <w:rPr>
          <w:b/>
          <w:bCs/>
          <w:sz w:val="24"/>
          <w:szCs w:val="24"/>
        </w:rPr>
        <w:t xml:space="preserve"> </w:t>
      </w:r>
      <w:r w:rsidR="00067F02" w:rsidRPr="00C603A9">
        <w:rPr>
          <w:b/>
          <w:bCs/>
          <w:sz w:val="24"/>
          <w:szCs w:val="24"/>
        </w:rPr>
        <w:t xml:space="preserve">Geographical Dispersion </w:t>
      </w:r>
    </w:p>
    <w:p w:rsidR="00F91174" w:rsidRPr="004B3890" w:rsidRDefault="00F91174" w:rsidP="00F91174">
      <w:pPr>
        <w:jc w:val="lowKashida"/>
        <w:rPr>
          <w:b/>
          <w:bCs/>
          <w:sz w:val="18"/>
          <w:szCs w:val="18"/>
        </w:rPr>
      </w:pPr>
    </w:p>
    <w:p w:rsidR="005E1E3C" w:rsidRPr="00C603A9" w:rsidRDefault="005E1E3C" w:rsidP="00F91174">
      <w:pPr>
        <w:jc w:val="lowKashida"/>
        <w:rPr>
          <w:b/>
          <w:bCs/>
          <w:sz w:val="24"/>
          <w:szCs w:val="24"/>
        </w:rPr>
      </w:pPr>
      <w:r w:rsidRPr="00C603A9">
        <w:rPr>
          <w:b/>
          <w:bCs/>
          <w:sz w:val="24"/>
          <w:szCs w:val="24"/>
        </w:rPr>
        <w:t xml:space="preserve">Eastern Strip: </w:t>
      </w:r>
    </w:p>
    <w:p w:rsidR="00C93368" w:rsidRPr="00D31B33" w:rsidRDefault="00C93368" w:rsidP="00BA6C58">
      <w:pPr>
        <w:pStyle w:val="BodyTextIndent2"/>
        <w:ind w:left="0"/>
        <w:jc w:val="left"/>
      </w:pPr>
      <w:r w:rsidRPr="00D166D2">
        <w:t xml:space="preserve">At the end of </w:t>
      </w:r>
      <w:r w:rsidR="0070389A">
        <w:rPr>
          <w:rFonts w:cs="Times New Roman"/>
        </w:rPr>
        <w:t>2020</w:t>
      </w:r>
      <w:r w:rsidRPr="00D166D2">
        <w:t xml:space="preserve">, this area included 28 settlements with a population of </w:t>
      </w:r>
      <w:r w:rsidR="003F6EB0">
        <w:t>8</w:t>
      </w:r>
      <w:r w:rsidRPr="00D166D2">
        <w:t>,</w:t>
      </w:r>
      <w:r w:rsidR="0070389A">
        <w:t>873</w:t>
      </w:r>
      <w:r w:rsidRPr="00D166D2">
        <w:t xml:space="preserve"> </w:t>
      </w:r>
      <w:r w:rsidR="00B83961" w:rsidRPr="00C603A9">
        <w:t>settlers</w:t>
      </w:r>
      <w:r w:rsidR="00B83961">
        <w:t xml:space="preserve"> </w:t>
      </w:r>
      <w:r w:rsidR="00B83961" w:rsidRPr="00C603A9">
        <w:t>represent</w:t>
      </w:r>
      <w:r w:rsidR="00B55485">
        <w:t>ing</w:t>
      </w:r>
      <w:r w:rsidR="00B83961" w:rsidRPr="00C603A9">
        <w:t xml:space="preserve"> </w:t>
      </w:r>
      <w:r w:rsidRPr="00D166D2">
        <w:t>1.</w:t>
      </w:r>
      <w:r w:rsidR="00BA6C58">
        <w:t>3</w:t>
      </w:r>
      <w:r w:rsidRPr="00D166D2">
        <w:t xml:space="preserve">% of all settlers in the </w:t>
      </w:r>
      <w:r w:rsidRPr="00D166D2">
        <w:rPr>
          <w:rFonts w:cs="Times New Roman"/>
        </w:rPr>
        <w:t>West Bank</w:t>
      </w:r>
      <w:r w:rsidRPr="00D166D2">
        <w:t>.</w:t>
      </w:r>
    </w:p>
    <w:p w:rsidR="00953976" w:rsidRPr="00C603A9" w:rsidRDefault="00953976" w:rsidP="00B83961">
      <w:pPr>
        <w:ind w:firstLine="720"/>
        <w:jc w:val="lowKashida"/>
        <w:rPr>
          <w:sz w:val="24"/>
          <w:szCs w:val="24"/>
        </w:rPr>
      </w:pPr>
    </w:p>
    <w:p w:rsidR="005E1E3C" w:rsidRPr="00C603A9" w:rsidRDefault="005E1E3C" w:rsidP="00F91174">
      <w:pPr>
        <w:jc w:val="lowKashida"/>
        <w:rPr>
          <w:b/>
          <w:bCs/>
          <w:sz w:val="24"/>
          <w:szCs w:val="24"/>
        </w:rPr>
      </w:pPr>
      <w:r w:rsidRPr="00C603A9">
        <w:rPr>
          <w:b/>
          <w:bCs/>
          <w:sz w:val="24"/>
          <w:szCs w:val="24"/>
        </w:rPr>
        <w:t xml:space="preserve">Mountain Strip: </w:t>
      </w:r>
    </w:p>
    <w:p w:rsidR="00C93368" w:rsidRPr="00C603A9" w:rsidRDefault="00C93368" w:rsidP="0070389A">
      <w:pPr>
        <w:jc w:val="both"/>
        <w:rPr>
          <w:b/>
          <w:bCs/>
          <w:sz w:val="24"/>
          <w:szCs w:val="24"/>
        </w:rPr>
      </w:pPr>
      <w:r w:rsidRPr="00C603A9">
        <w:rPr>
          <w:sz w:val="24"/>
          <w:szCs w:val="24"/>
        </w:rPr>
        <w:t xml:space="preserve">At the end of </w:t>
      </w:r>
      <w:r w:rsidR="0070389A">
        <w:rPr>
          <w:rFonts w:cs="Times New Roman"/>
          <w:sz w:val="24"/>
          <w:szCs w:val="24"/>
        </w:rPr>
        <w:t>2020</w:t>
      </w:r>
      <w:r w:rsidRPr="00C603A9">
        <w:rPr>
          <w:sz w:val="24"/>
          <w:szCs w:val="24"/>
        </w:rPr>
        <w:t xml:space="preserve">, this area included </w:t>
      </w:r>
      <w:r w:rsidR="004C4F05">
        <w:rPr>
          <w:sz w:val="24"/>
          <w:szCs w:val="24"/>
        </w:rPr>
        <w:t>33</w:t>
      </w:r>
      <w:r w:rsidRPr="00C603A9">
        <w:rPr>
          <w:sz w:val="24"/>
          <w:szCs w:val="24"/>
        </w:rPr>
        <w:t xml:space="preserve"> settlements with a population of </w:t>
      </w:r>
      <w:r w:rsidR="0070389A">
        <w:rPr>
          <w:sz w:val="24"/>
          <w:szCs w:val="24"/>
        </w:rPr>
        <w:t>62</w:t>
      </w:r>
      <w:r w:rsidR="00B031DF">
        <w:rPr>
          <w:sz w:val="24"/>
          <w:szCs w:val="24"/>
        </w:rPr>
        <w:t>,</w:t>
      </w:r>
      <w:r w:rsidR="0070389A">
        <w:rPr>
          <w:sz w:val="24"/>
          <w:szCs w:val="24"/>
        </w:rPr>
        <w:t>760</w:t>
      </w:r>
      <w:r w:rsidRPr="00C603A9">
        <w:rPr>
          <w:sz w:val="24"/>
          <w:szCs w:val="24"/>
        </w:rPr>
        <w:t xml:space="preserve"> </w:t>
      </w:r>
      <w:r w:rsidR="00B83961" w:rsidRPr="00C603A9">
        <w:rPr>
          <w:sz w:val="24"/>
          <w:szCs w:val="24"/>
        </w:rPr>
        <w:t>settlers</w:t>
      </w:r>
      <w:r w:rsidR="00B83961">
        <w:rPr>
          <w:sz w:val="24"/>
          <w:szCs w:val="24"/>
        </w:rPr>
        <w:t xml:space="preserve"> </w:t>
      </w:r>
      <w:r w:rsidR="00B55485" w:rsidRPr="00B55485">
        <w:rPr>
          <w:sz w:val="24"/>
          <w:szCs w:val="24"/>
        </w:rPr>
        <w:t>representing</w:t>
      </w:r>
      <w:r w:rsidR="00B83961" w:rsidRPr="00C603A9">
        <w:rPr>
          <w:sz w:val="24"/>
          <w:szCs w:val="24"/>
        </w:rPr>
        <w:t xml:space="preserve"> </w:t>
      </w:r>
      <w:r w:rsidRPr="00C603A9">
        <w:rPr>
          <w:sz w:val="24"/>
          <w:szCs w:val="24"/>
        </w:rPr>
        <w:t>8.</w:t>
      </w:r>
      <w:r w:rsidR="0070389A">
        <w:rPr>
          <w:sz w:val="24"/>
          <w:szCs w:val="24"/>
        </w:rPr>
        <w:t>8</w:t>
      </w:r>
      <w:r w:rsidRPr="00C603A9">
        <w:rPr>
          <w:sz w:val="24"/>
          <w:szCs w:val="24"/>
        </w:rPr>
        <w:t xml:space="preserve">% of all settlers in the </w:t>
      </w:r>
      <w:r w:rsidRPr="00C603A9">
        <w:rPr>
          <w:rFonts w:cs="Times New Roman"/>
          <w:sz w:val="24"/>
          <w:szCs w:val="24"/>
        </w:rPr>
        <w:t>West Bank</w:t>
      </w:r>
      <w:r w:rsidRPr="00C603A9">
        <w:rPr>
          <w:sz w:val="24"/>
          <w:szCs w:val="24"/>
        </w:rPr>
        <w:t>.</w:t>
      </w:r>
    </w:p>
    <w:p w:rsidR="00953976" w:rsidRPr="00C603A9" w:rsidRDefault="00953976"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 xml:space="preserve">Western Hills Strip: </w:t>
      </w:r>
    </w:p>
    <w:p w:rsidR="00953976" w:rsidRDefault="00C93368" w:rsidP="0070389A">
      <w:pPr>
        <w:jc w:val="lowKashida"/>
        <w:rPr>
          <w:b/>
          <w:bCs/>
          <w:sz w:val="24"/>
          <w:szCs w:val="24"/>
        </w:rPr>
      </w:pPr>
      <w:r w:rsidRPr="00D166D2">
        <w:rPr>
          <w:sz w:val="24"/>
          <w:szCs w:val="24"/>
        </w:rPr>
        <w:t xml:space="preserve">At the end of </w:t>
      </w:r>
      <w:r w:rsidR="0070389A">
        <w:rPr>
          <w:rFonts w:cs="Times New Roman"/>
          <w:sz w:val="24"/>
          <w:szCs w:val="24"/>
        </w:rPr>
        <w:t>2020</w:t>
      </w:r>
      <w:r w:rsidRPr="00D166D2">
        <w:rPr>
          <w:sz w:val="24"/>
          <w:szCs w:val="24"/>
        </w:rPr>
        <w:t xml:space="preserve">, this area included </w:t>
      </w:r>
      <w:r w:rsidR="00291DD6">
        <w:rPr>
          <w:sz w:val="24"/>
          <w:szCs w:val="24"/>
        </w:rPr>
        <w:t>53</w:t>
      </w:r>
      <w:r w:rsidRPr="00D166D2">
        <w:rPr>
          <w:sz w:val="24"/>
          <w:szCs w:val="24"/>
        </w:rPr>
        <w:t xml:space="preserve"> settlements with a population of </w:t>
      </w:r>
      <w:r w:rsidR="0070389A">
        <w:rPr>
          <w:sz w:val="24"/>
          <w:szCs w:val="24"/>
        </w:rPr>
        <w:t>218</w:t>
      </w:r>
      <w:r w:rsidR="003D1F9B">
        <w:rPr>
          <w:sz w:val="24"/>
          <w:szCs w:val="24"/>
        </w:rPr>
        <w:t>,</w:t>
      </w:r>
      <w:r w:rsidR="0070389A">
        <w:rPr>
          <w:sz w:val="24"/>
          <w:szCs w:val="24"/>
        </w:rPr>
        <w:t>936</w:t>
      </w:r>
      <w:r w:rsidRPr="00D166D2">
        <w:rPr>
          <w:sz w:val="24"/>
          <w:szCs w:val="24"/>
        </w:rPr>
        <w:t xml:space="preserve"> </w:t>
      </w:r>
      <w:r w:rsidR="00B83961" w:rsidRPr="00C603A9">
        <w:rPr>
          <w:sz w:val="24"/>
          <w:szCs w:val="24"/>
        </w:rPr>
        <w:t>settlers</w:t>
      </w:r>
      <w:r w:rsidR="00B83961">
        <w:rPr>
          <w:sz w:val="24"/>
          <w:szCs w:val="24"/>
        </w:rPr>
        <w:t xml:space="preserve"> </w:t>
      </w:r>
      <w:r w:rsidR="00B55485" w:rsidRPr="00B55485">
        <w:rPr>
          <w:sz w:val="24"/>
          <w:szCs w:val="24"/>
        </w:rPr>
        <w:t xml:space="preserve">representing </w:t>
      </w:r>
      <w:r w:rsidR="0070389A">
        <w:rPr>
          <w:sz w:val="24"/>
          <w:szCs w:val="24"/>
        </w:rPr>
        <w:t>30.7</w:t>
      </w:r>
      <w:r w:rsidRPr="00D166D2">
        <w:rPr>
          <w:sz w:val="24"/>
          <w:szCs w:val="24"/>
        </w:rPr>
        <w:t xml:space="preserve">% of all settlers in the </w:t>
      </w:r>
      <w:r w:rsidRPr="00D166D2">
        <w:rPr>
          <w:rFonts w:cs="Times New Roman"/>
          <w:sz w:val="24"/>
          <w:szCs w:val="24"/>
        </w:rPr>
        <w:t>West Bank</w:t>
      </w:r>
      <w:r w:rsidRPr="00D166D2">
        <w:rPr>
          <w:sz w:val="24"/>
          <w:szCs w:val="24"/>
        </w:rPr>
        <w:t>.</w:t>
      </w:r>
    </w:p>
    <w:p w:rsidR="00C93368" w:rsidRPr="00C603A9" w:rsidRDefault="00C93368"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Greater Jerusalem Strip:</w:t>
      </w:r>
    </w:p>
    <w:p w:rsidR="004F1CDA" w:rsidRDefault="006711C2" w:rsidP="006210AC">
      <w:pPr>
        <w:pStyle w:val="BodyTextIndent2"/>
        <w:ind w:left="0"/>
        <w:jc w:val="both"/>
      </w:pPr>
      <w:r w:rsidRPr="006711C2">
        <w:t xml:space="preserve">At the end of </w:t>
      </w:r>
      <w:r w:rsidR="0070389A">
        <w:t>2020</w:t>
      </w:r>
      <w:r w:rsidRPr="006711C2">
        <w:t xml:space="preserve">, this area included 37 settlements with a population of </w:t>
      </w:r>
      <w:r w:rsidR="006210AC">
        <w:t>422</w:t>
      </w:r>
      <w:r w:rsidRPr="006711C2">
        <w:t>,</w:t>
      </w:r>
      <w:r w:rsidR="006210AC">
        <w:t>246</w:t>
      </w:r>
      <w:r w:rsidRPr="006711C2">
        <w:t xml:space="preserve"> settlers representing </w:t>
      </w:r>
      <w:r w:rsidR="006210AC">
        <w:t>59.2</w:t>
      </w:r>
      <w:r w:rsidRPr="006711C2">
        <w:t>% of all settlers in the West Bank. (See Tables 17 and 18)</w:t>
      </w:r>
    </w:p>
    <w:p w:rsidR="006711C2" w:rsidRDefault="006711C2" w:rsidP="00F91174">
      <w:pPr>
        <w:pStyle w:val="BodyTextIndent2"/>
        <w:ind w:left="0"/>
        <w:jc w:val="both"/>
      </w:pPr>
    </w:p>
    <w:p w:rsidR="004F1CDA" w:rsidRDefault="00272772" w:rsidP="00F91174">
      <w:pPr>
        <w:jc w:val="lowKashida"/>
        <w:rPr>
          <w:b/>
          <w:bCs/>
          <w:sz w:val="24"/>
          <w:szCs w:val="24"/>
        </w:rPr>
      </w:pPr>
      <w:r>
        <w:rPr>
          <w:b/>
          <w:bCs/>
          <w:sz w:val="24"/>
          <w:szCs w:val="24"/>
        </w:rPr>
        <w:t>2.7 Overwhelming Ideology</w:t>
      </w:r>
    </w:p>
    <w:p w:rsidR="001E0839" w:rsidRDefault="006711C2" w:rsidP="0070389A">
      <w:pPr>
        <w:jc w:val="lowKashida"/>
        <w:rPr>
          <w:sz w:val="24"/>
          <w:szCs w:val="24"/>
        </w:rPr>
      </w:pPr>
      <w:r w:rsidRPr="006711C2">
        <w:rPr>
          <w:sz w:val="24"/>
          <w:szCs w:val="24"/>
        </w:rPr>
        <w:t xml:space="preserve">The settlers’ population in rural settlements is distributed among </w:t>
      </w:r>
      <w:r w:rsidR="0070389A">
        <w:rPr>
          <w:sz w:val="24"/>
          <w:szCs w:val="24"/>
        </w:rPr>
        <w:t>87</w:t>
      </w:r>
      <w:r w:rsidRPr="006711C2">
        <w:rPr>
          <w:sz w:val="24"/>
          <w:szCs w:val="24"/>
        </w:rPr>
        <w:t xml:space="preserve"> settlements, including </w:t>
      </w:r>
      <w:r w:rsidR="0070389A">
        <w:rPr>
          <w:sz w:val="24"/>
          <w:szCs w:val="24"/>
        </w:rPr>
        <w:t>26</w:t>
      </w:r>
      <w:r w:rsidRPr="006711C2">
        <w:rPr>
          <w:sz w:val="24"/>
          <w:szCs w:val="24"/>
        </w:rPr>
        <w:t xml:space="preserve"> religious settlements with a population of </w:t>
      </w:r>
      <w:r w:rsidR="0070389A">
        <w:rPr>
          <w:sz w:val="24"/>
          <w:szCs w:val="24"/>
        </w:rPr>
        <w:t>26</w:t>
      </w:r>
      <w:r w:rsidRPr="006711C2">
        <w:rPr>
          <w:sz w:val="24"/>
          <w:szCs w:val="24"/>
        </w:rPr>
        <w:t>,</w:t>
      </w:r>
      <w:r w:rsidR="0070389A">
        <w:rPr>
          <w:sz w:val="24"/>
          <w:szCs w:val="24"/>
        </w:rPr>
        <w:t>125</w:t>
      </w:r>
      <w:r w:rsidRPr="006711C2">
        <w:rPr>
          <w:sz w:val="24"/>
          <w:szCs w:val="24"/>
        </w:rPr>
        <w:t xml:space="preserve"> settlers, 36 secular settlements with a population of </w:t>
      </w:r>
      <w:r w:rsidR="0070389A">
        <w:rPr>
          <w:sz w:val="24"/>
          <w:szCs w:val="24"/>
        </w:rPr>
        <w:t>19</w:t>
      </w:r>
      <w:r w:rsidRPr="006711C2">
        <w:rPr>
          <w:sz w:val="24"/>
          <w:szCs w:val="24"/>
        </w:rPr>
        <w:t>,</w:t>
      </w:r>
      <w:r w:rsidR="0070389A">
        <w:rPr>
          <w:sz w:val="24"/>
          <w:szCs w:val="24"/>
        </w:rPr>
        <w:t>306</w:t>
      </w:r>
      <w:r w:rsidRPr="006711C2">
        <w:rPr>
          <w:sz w:val="24"/>
          <w:szCs w:val="24"/>
        </w:rPr>
        <w:t xml:space="preserve"> settlers, and 4 mixed settlements with a population of </w:t>
      </w:r>
      <w:r w:rsidR="0070389A">
        <w:rPr>
          <w:sz w:val="24"/>
          <w:szCs w:val="24"/>
        </w:rPr>
        <w:t>4</w:t>
      </w:r>
      <w:r w:rsidRPr="006711C2">
        <w:rPr>
          <w:sz w:val="24"/>
          <w:szCs w:val="24"/>
        </w:rPr>
        <w:t>,</w:t>
      </w:r>
      <w:r w:rsidR="0070389A">
        <w:rPr>
          <w:sz w:val="24"/>
          <w:szCs w:val="24"/>
        </w:rPr>
        <w:t>328</w:t>
      </w:r>
      <w:r w:rsidRPr="006711C2">
        <w:rPr>
          <w:sz w:val="24"/>
          <w:szCs w:val="24"/>
        </w:rPr>
        <w:t xml:space="preserve"> settlers.  There are no available data with respect to religious ideology of the remaining settlements (See Tables 21 and 22).</w:t>
      </w:r>
    </w:p>
    <w:p w:rsidR="006711C2" w:rsidRDefault="006711C2" w:rsidP="00F91174">
      <w:pPr>
        <w:jc w:val="lowKashida"/>
        <w:rPr>
          <w:sz w:val="24"/>
          <w:szCs w:val="24"/>
        </w:rPr>
      </w:pPr>
    </w:p>
    <w:p w:rsidR="004F1CDA" w:rsidRDefault="00272772" w:rsidP="00F91174">
      <w:pPr>
        <w:jc w:val="lowKashida"/>
        <w:rPr>
          <w:b/>
          <w:bCs/>
          <w:sz w:val="24"/>
          <w:szCs w:val="24"/>
        </w:rPr>
      </w:pPr>
      <w:r>
        <w:rPr>
          <w:b/>
          <w:bCs/>
          <w:sz w:val="24"/>
          <w:szCs w:val="24"/>
        </w:rPr>
        <w:t>2.8 Organizational Affiliation</w:t>
      </w:r>
    </w:p>
    <w:p w:rsidR="00153CA1" w:rsidRDefault="006711C2" w:rsidP="0070389A">
      <w:pPr>
        <w:jc w:val="lowKashida"/>
        <w:rPr>
          <w:sz w:val="24"/>
          <w:szCs w:val="24"/>
        </w:rPr>
      </w:pPr>
      <w:r w:rsidRPr="006711C2">
        <w:rPr>
          <w:sz w:val="24"/>
          <w:szCs w:val="24"/>
        </w:rPr>
        <w:t>This division applies to rural settlements. The majority of settlers living in rural settlements are affiliated with Amana Movement (</w:t>
      </w:r>
      <w:r w:rsidR="0070389A">
        <w:rPr>
          <w:sz w:val="24"/>
          <w:szCs w:val="24"/>
        </w:rPr>
        <w:t>28</w:t>
      </w:r>
      <w:r w:rsidRPr="006711C2">
        <w:rPr>
          <w:sz w:val="24"/>
          <w:szCs w:val="24"/>
        </w:rPr>
        <w:t>,</w:t>
      </w:r>
      <w:r w:rsidR="0070389A">
        <w:rPr>
          <w:sz w:val="24"/>
          <w:szCs w:val="24"/>
        </w:rPr>
        <w:t>070</w:t>
      </w:r>
      <w:r w:rsidRPr="006711C2">
        <w:rPr>
          <w:sz w:val="24"/>
          <w:szCs w:val="24"/>
        </w:rPr>
        <w:t xml:space="preserve"> settlers living in </w:t>
      </w:r>
      <w:r w:rsidR="0070389A">
        <w:rPr>
          <w:sz w:val="24"/>
          <w:szCs w:val="24"/>
        </w:rPr>
        <w:t>27</w:t>
      </w:r>
      <w:r w:rsidRPr="006711C2">
        <w:rPr>
          <w:sz w:val="24"/>
          <w:szCs w:val="24"/>
        </w:rPr>
        <w:t xml:space="preserve"> settlements). (See Tables 23 </w:t>
      </w:r>
      <w:r w:rsidR="003260D2">
        <w:rPr>
          <w:sz w:val="24"/>
          <w:szCs w:val="24"/>
        </w:rPr>
        <w:t xml:space="preserve">         </w:t>
      </w:r>
      <w:r w:rsidRPr="006711C2">
        <w:rPr>
          <w:sz w:val="24"/>
          <w:szCs w:val="24"/>
        </w:rPr>
        <w:t xml:space="preserve">and 24) </w:t>
      </w:r>
      <w:r w:rsidR="00DC48A1" w:rsidRPr="00C603A9">
        <w:rPr>
          <w:sz w:val="24"/>
          <w:szCs w:val="24"/>
        </w:rPr>
        <w:br w:type="page"/>
      </w:r>
    </w:p>
    <w:p w:rsidR="00345066" w:rsidRDefault="00345066">
      <w:pPr>
        <w:rPr>
          <w:sz w:val="24"/>
          <w:szCs w:val="24"/>
        </w:rPr>
      </w:pPr>
      <w:r>
        <w:rPr>
          <w:sz w:val="24"/>
          <w:szCs w:val="24"/>
        </w:rPr>
        <w:br w:type="page"/>
      </w:r>
    </w:p>
    <w:p w:rsidR="005E1E3C" w:rsidRPr="00345066" w:rsidRDefault="005E1E3C" w:rsidP="005E6DB3">
      <w:pPr>
        <w:jc w:val="center"/>
        <w:rPr>
          <w:sz w:val="24"/>
          <w:szCs w:val="24"/>
        </w:rPr>
      </w:pPr>
      <w:r w:rsidRPr="00345066">
        <w:rPr>
          <w:sz w:val="24"/>
          <w:szCs w:val="24"/>
        </w:rPr>
        <w:t xml:space="preserve">Chapter </w:t>
      </w:r>
      <w:r w:rsidR="00BC1C6F" w:rsidRPr="00345066">
        <w:rPr>
          <w:sz w:val="24"/>
          <w:szCs w:val="24"/>
        </w:rPr>
        <w:t>Three</w:t>
      </w:r>
    </w:p>
    <w:p w:rsidR="005E1E3C"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5E1E3C" w:rsidRPr="00C603A9" w:rsidRDefault="00241F73" w:rsidP="00241F73">
      <w:pPr>
        <w:pStyle w:val="BodyText2"/>
        <w:ind w:right="-144"/>
        <w:jc w:val="center"/>
        <w:rPr>
          <w:b/>
          <w:bCs/>
          <w:sz w:val="28"/>
          <w:szCs w:val="28"/>
        </w:rPr>
      </w:pPr>
      <w:r>
        <w:rPr>
          <w:b/>
          <w:bCs/>
          <w:sz w:val="28"/>
          <w:szCs w:val="28"/>
        </w:rPr>
        <w:t>Methodology</w:t>
      </w:r>
    </w:p>
    <w:p w:rsidR="005E1E3C" w:rsidRPr="00C603A9" w:rsidRDefault="00241F73" w:rsidP="00241F73">
      <w:pPr>
        <w:pStyle w:val="BodyText2"/>
        <w:tabs>
          <w:tab w:val="left" w:pos="5730"/>
        </w:tabs>
        <w:ind w:right="-144"/>
        <w:jc w:val="left"/>
        <w:rPr>
          <w:b/>
          <w:bCs/>
        </w:rPr>
      </w:pPr>
      <w:r>
        <w:rPr>
          <w:b/>
          <w:bCs/>
        </w:rPr>
        <w:tab/>
      </w:r>
    </w:p>
    <w:p w:rsidR="009E1D61" w:rsidRPr="00C603A9" w:rsidRDefault="009E1D61" w:rsidP="009E1D61">
      <w:pPr>
        <w:ind w:left="45"/>
        <w:jc w:val="lowKashida"/>
        <w:rPr>
          <w:sz w:val="24"/>
          <w:szCs w:val="24"/>
        </w:rPr>
      </w:pPr>
      <w:r>
        <w:rPr>
          <w:sz w:val="24"/>
          <w:szCs w:val="24"/>
        </w:rPr>
        <w:t>In addition to the objectives behind producing this report, t</w:t>
      </w:r>
      <w:r w:rsidRPr="00C603A9">
        <w:rPr>
          <w:sz w:val="24"/>
          <w:szCs w:val="24"/>
        </w:rPr>
        <w:t xml:space="preserve">his </w:t>
      </w:r>
      <w:r>
        <w:rPr>
          <w:sz w:val="24"/>
          <w:szCs w:val="24"/>
        </w:rPr>
        <w:t>chapter</w:t>
      </w:r>
      <w:r w:rsidRPr="00C603A9">
        <w:rPr>
          <w:sz w:val="24"/>
          <w:szCs w:val="24"/>
        </w:rPr>
        <w:t xml:space="preserve"> presents the methodology used in data co</w:t>
      </w:r>
      <w:r>
        <w:rPr>
          <w:sz w:val="24"/>
          <w:szCs w:val="24"/>
        </w:rPr>
        <w:t>llection from different sources including</w:t>
      </w:r>
      <w:r w:rsidRPr="00C603A9">
        <w:rPr>
          <w:sz w:val="24"/>
          <w:szCs w:val="24"/>
        </w:rPr>
        <w:t xml:space="preserve"> Israeli Central Bureau of Statistics,</w:t>
      </w:r>
      <w:r>
        <w:rPr>
          <w:sz w:val="24"/>
          <w:szCs w:val="24"/>
        </w:rPr>
        <w:t xml:space="preserve"> and</w:t>
      </w:r>
      <w:r w:rsidRPr="00C603A9">
        <w:rPr>
          <w:sz w:val="24"/>
          <w:szCs w:val="24"/>
        </w:rPr>
        <w:t xml:space="preserve"> Jerusalem Institute for Israeli Studies</w:t>
      </w:r>
      <w:r>
        <w:rPr>
          <w:sz w:val="24"/>
          <w:szCs w:val="24"/>
        </w:rPr>
        <w:t>.</w:t>
      </w:r>
    </w:p>
    <w:p w:rsidR="005E1E3C" w:rsidRPr="00C603A9" w:rsidRDefault="005E1E3C" w:rsidP="005E1E3C">
      <w:pPr>
        <w:ind w:left="45"/>
        <w:jc w:val="lowKashida"/>
        <w:rPr>
          <w:sz w:val="24"/>
          <w:szCs w:val="24"/>
        </w:rPr>
      </w:pPr>
    </w:p>
    <w:p w:rsidR="005E1E3C" w:rsidRDefault="00BC1C6F" w:rsidP="00F15323">
      <w:pPr>
        <w:ind w:left="45"/>
        <w:jc w:val="lowKashida"/>
        <w:rPr>
          <w:b/>
          <w:bCs/>
          <w:sz w:val="24"/>
          <w:szCs w:val="24"/>
        </w:rPr>
      </w:pPr>
      <w:r>
        <w:rPr>
          <w:b/>
          <w:bCs/>
          <w:sz w:val="24"/>
          <w:szCs w:val="24"/>
        </w:rPr>
        <w:t>3</w:t>
      </w:r>
      <w:r w:rsidR="005E1E3C" w:rsidRPr="00C603A9">
        <w:rPr>
          <w:b/>
          <w:bCs/>
          <w:sz w:val="24"/>
          <w:szCs w:val="24"/>
        </w:rPr>
        <w:t xml:space="preserve">.1 </w:t>
      </w:r>
      <w:r w:rsidR="00F15323">
        <w:rPr>
          <w:b/>
          <w:bCs/>
          <w:sz w:val="24"/>
          <w:szCs w:val="24"/>
        </w:rPr>
        <w:t>Objectives</w:t>
      </w:r>
      <w:r w:rsidR="00B47470">
        <w:rPr>
          <w:b/>
          <w:bCs/>
          <w:sz w:val="24"/>
          <w:szCs w:val="24"/>
        </w:rPr>
        <w:t>:</w:t>
      </w:r>
    </w:p>
    <w:p w:rsidR="009E1D61" w:rsidRPr="00B47470" w:rsidRDefault="009E1D61" w:rsidP="009E1D61">
      <w:pPr>
        <w:ind w:left="45"/>
        <w:jc w:val="both"/>
        <w:rPr>
          <w:sz w:val="24"/>
          <w:szCs w:val="24"/>
        </w:rPr>
      </w:pPr>
      <w:r w:rsidRPr="00B47470">
        <w:rPr>
          <w:sz w:val="24"/>
          <w:szCs w:val="24"/>
        </w:rPr>
        <w:t xml:space="preserve">1. To publish data on population and geographical indicators of Israeli settlements in the West Bank including </w:t>
      </w:r>
      <w:r>
        <w:rPr>
          <w:sz w:val="24"/>
          <w:szCs w:val="24"/>
        </w:rPr>
        <w:t xml:space="preserve">the </w:t>
      </w:r>
      <w:r w:rsidRPr="00B47470">
        <w:rPr>
          <w:sz w:val="24"/>
          <w:szCs w:val="24"/>
        </w:rPr>
        <w:t>number of settlers, level and nature of</w:t>
      </w:r>
      <w:r>
        <w:rPr>
          <w:sz w:val="24"/>
          <w:szCs w:val="24"/>
        </w:rPr>
        <w:t xml:space="preserve"> the</w:t>
      </w:r>
      <w:r w:rsidRPr="00B47470">
        <w:rPr>
          <w:sz w:val="24"/>
          <w:szCs w:val="24"/>
        </w:rPr>
        <w:t xml:space="preserve"> settlement</w:t>
      </w:r>
      <w:r>
        <w:rPr>
          <w:sz w:val="24"/>
          <w:szCs w:val="24"/>
        </w:rPr>
        <w:t>s</w:t>
      </w:r>
      <w:r w:rsidRPr="00B47470">
        <w:rPr>
          <w:sz w:val="24"/>
          <w:szCs w:val="24"/>
        </w:rPr>
        <w:t>, geographical distribution, prevalent ideology, and other related subjects.</w:t>
      </w:r>
    </w:p>
    <w:p w:rsidR="00F15323" w:rsidRDefault="00B47470" w:rsidP="00B739A7">
      <w:pPr>
        <w:ind w:left="45"/>
        <w:jc w:val="both"/>
        <w:rPr>
          <w:sz w:val="24"/>
          <w:szCs w:val="24"/>
        </w:rPr>
      </w:pPr>
      <w:r w:rsidRPr="00B47470">
        <w:rPr>
          <w:sz w:val="24"/>
          <w:szCs w:val="24"/>
        </w:rPr>
        <w:t xml:space="preserve">2. To create a database to provide data on </w:t>
      </w:r>
      <w:r w:rsidR="00F003CB">
        <w:rPr>
          <w:sz w:val="24"/>
          <w:szCs w:val="24"/>
        </w:rPr>
        <w:t>Israeli Settlements in the West Bank</w:t>
      </w:r>
      <w:r w:rsidRPr="00B47470">
        <w:rPr>
          <w:sz w:val="24"/>
          <w:szCs w:val="24"/>
        </w:rPr>
        <w:t>.</w:t>
      </w:r>
    </w:p>
    <w:p w:rsidR="00B47470" w:rsidRDefault="00B47470" w:rsidP="00B739A7">
      <w:pPr>
        <w:ind w:left="45"/>
        <w:jc w:val="both"/>
        <w:rPr>
          <w:sz w:val="24"/>
          <w:szCs w:val="24"/>
        </w:rPr>
      </w:pPr>
    </w:p>
    <w:p w:rsidR="00F15323" w:rsidRPr="003273C8" w:rsidRDefault="00F15323" w:rsidP="00F15323">
      <w:pPr>
        <w:ind w:left="45"/>
        <w:jc w:val="lowKashida"/>
        <w:rPr>
          <w:b/>
          <w:bCs/>
          <w:sz w:val="16"/>
          <w:szCs w:val="16"/>
        </w:rPr>
      </w:pPr>
      <w:r>
        <w:rPr>
          <w:b/>
          <w:bCs/>
          <w:sz w:val="24"/>
          <w:szCs w:val="24"/>
        </w:rPr>
        <w:t>3</w:t>
      </w:r>
      <w:r w:rsidRPr="00C603A9">
        <w:rPr>
          <w:b/>
          <w:bCs/>
          <w:sz w:val="24"/>
          <w:szCs w:val="24"/>
        </w:rPr>
        <w:t>.2 Data Processing</w:t>
      </w:r>
    </w:p>
    <w:p w:rsidR="00B47470" w:rsidRPr="00C603A9" w:rsidRDefault="00B47470" w:rsidP="00B739A7">
      <w:pPr>
        <w:ind w:left="45"/>
        <w:jc w:val="both"/>
        <w:rPr>
          <w:sz w:val="24"/>
          <w:szCs w:val="24"/>
        </w:rPr>
      </w:pPr>
      <w:r w:rsidRPr="00C603A9">
        <w:rPr>
          <w:sz w:val="24"/>
          <w:szCs w:val="24"/>
        </w:rPr>
        <w:t xml:space="preserve">Data of Israeli settlements include all the areas classified by the Palestinian Official sources as </w:t>
      </w:r>
      <w:r>
        <w:rPr>
          <w:sz w:val="24"/>
          <w:szCs w:val="24"/>
        </w:rPr>
        <w:t xml:space="preserve">the </w:t>
      </w:r>
      <w:r w:rsidRPr="00C603A9">
        <w:rPr>
          <w:sz w:val="24"/>
          <w:szCs w:val="24"/>
        </w:rPr>
        <w:t xml:space="preserve">West Bank, including settlements in J1, and no-man’s-land in Ramallah &amp; Al-Bireh Governorate, closed military areas along </w:t>
      </w:r>
      <w:r>
        <w:rPr>
          <w:sz w:val="24"/>
          <w:szCs w:val="24"/>
        </w:rPr>
        <w:t xml:space="preserve">with </w:t>
      </w:r>
      <w:r w:rsidRPr="00C603A9">
        <w:rPr>
          <w:sz w:val="24"/>
          <w:szCs w:val="24"/>
        </w:rPr>
        <w:t xml:space="preserve">the </w:t>
      </w:r>
      <w:r>
        <w:rPr>
          <w:sz w:val="24"/>
          <w:szCs w:val="24"/>
        </w:rPr>
        <w:t>G</w:t>
      </w:r>
      <w:r w:rsidRPr="00C603A9">
        <w:rPr>
          <w:sz w:val="24"/>
          <w:szCs w:val="24"/>
        </w:rPr>
        <w:t xml:space="preserve">reen </w:t>
      </w:r>
      <w:r>
        <w:rPr>
          <w:sz w:val="24"/>
          <w:szCs w:val="24"/>
        </w:rPr>
        <w:t>L</w:t>
      </w:r>
      <w:r w:rsidRPr="00C603A9">
        <w:rPr>
          <w:sz w:val="24"/>
          <w:szCs w:val="24"/>
        </w:rPr>
        <w:t>ine in the West Bank.</w:t>
      </w:r>
    </w:p>
    <w:p w:rsidR="00B47470" w:rsidRPr="00C603A9" w:rsidRDefault="00B47470" w:rsidP="00B739A7">
      <w:pPr>
        <w:ind w:left="45"/>
        <w:jc w:val="both"/>
        <w:rPr>
          <w:sz w:val="24"/>
          <w:szCs w:val="24"/>
        </w:rPr>
      </w:pPr>
    </w:p>
    <w:p w:rsidR="00B47470" w:rsidRDefault="00B47470" w:rsidP="00B739A7">
      <w:pPr>
        <w:jc w:val="both"/>
        <w:rPr>
          <w:sz w:val="24"/>
          <w:szCs w:val="24"/>
        </w:rPr>
      </w:pPr>
      <w:r w:rsidRPr="00C603A9">
        <w:rPr>
          <w:sz w:val="24"/>
          <w:szCs w:val="24"/>
        </w:rPr>
        <w:t>The Israeli settlements database contains many fields necessary for the preparation of tables</w:t>
      </w:r>
      <w:r>
        <w:rPr>
          <w:sz w:val="24"/>
          <w:szCs w:val="24"/>
        </w:rPr>
        <w:t>.</w:t>
      </w:r>
      <w:r w:rsidRPr="00C603A9">
        <w:rPr>
          <w:sz w:val="24"/>
          <w:szCs w:val="24"/>
        </w:rPr>
        <w:t xml:space="preserve"> </w:t>
      </w:r>
      <w:r>
        <w:rPr>
          <w:sz w:val="24"/>
          <w:szCs w:val="24"/>
        </w:rPr>
        <w:t>T</w:t>
      </w:r>
      <w:r w:rsidRPr="00C603A9">
        <w:rPr>
          <w:sz w:val="24"/>
          <w:szCs w:val="24"/>
        </w:rPr>
        <w:t>his database is updated annually and statistical tables were extracted based on the updated data</w:t>
      </w:r>
      <w:r w:rsidRPr="00596923">
        <w:rPr>
          <w:sz w:val="24"/>
          <w:szCs w:val="24"/>
        </w:rPr>
        <w:t xml:space="preserve"> </w:t>
      </w:r>
      <w:r w:rsidRPr="00C603A9">
        <w:rPr>
          <w:sz w:val="24"/>
          <w:szCs w:val="24"/>
        </w:rPr>
        <w:t xml:space="preserve">as follows:  </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Updating the data relate</w:t>
      </w:r>
      <w:r>
        <w:rPr>
          <w:sz w:val="24"/>
          <w:szCs w:val="24"/>
        </w:rPr>
        <w:t>d</w:t>
      </w:r>
      <w:r w:rsidRPr="00C603A9">
        <w:rPr>
          <w:sz w:val="24"/>
          <w:szCs w:val="24"/>
        </w:rPr>
        <w:t xml:space="preserve"> to the population of each settlement and the classification of new fields as either updated or revised.</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 xml:space="preserve">Linking the population of each settlement with a population of attribution and the settlements for which data are available; </w:t>
      </w:r>
      <w:r w:rsidRPr="00C603A9">
        <w:rPr>
          <w:rFonts w:cs="Times New Roman"/>
          <w:sz w:val="24"/>
          <w:szCs w:val="24"/>
          <w:lang w:val="en-AU" w:eastAsia="en-AU"/>
        </w:rPr>
        <w:t>data are usually updated yearly by Israeli statistics.</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 xml:space="preserve">After updating the database, comprehensive editing and comparisons </w:t>
      </w:r>
      <w:r>
        <w:rPr>
          <w:sz w:val="24"/>
          <w:szCs w:val="24"/>
        </w:rPr>
        <w:t>are</w:t>
      </w:r>
      <w:r w:rsidRPr="00C603A9">
        <w:rPr>
          <w:sz w:val="24"/>
          <w:szCs w:val="24"/>
        </w:rPr>
        <w:t xml:space="preserve"> done to examine the logic</w:t>
      </w:r>
      <w:r>
        <w:rPr>
          <w:sz w:val="24"/>
          <w:szCs w:val="24"/>
        </w:rPr>
        <w:t>ality</w:t>
      </w:r>
      <w:r w:rsidRPr="00C603A9">
        <w:rPr>
          <w:sz w:val="24"/>
          <w:szCs w:val="24"/>
        </w:rPr>
        <w:t xml:space="preserve"> and consistency of figures compared with previous data.</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Matching results in the database with results in the original sources and within the same geographic area.</w:t>
      </w:r>
    </w:p>
    <w:p w:rsidR="00B47470" w:rsidRDefault="00B47470" w:rsidP="00B739A7">
      <w:pPr>
        <w:numPr>
          <w:ilvl w:val="0"/>
          <w:numId w:val="5"/>
        </w:numPr>
        <w:tabs>
          <w:tab w:val="clear" w:pos="360"/>
        </w:tabs>
        <w:ind w:left="426" w:hanging="284"/>
        <w:jc w:val="both"/>
        <w:rPr>
          <w:sz w:val="24"/>
          <w:szCs w:val="24"/>
        </w:rPr>
      </w:pPr>
      <w:r>
        <w:rPr>
          <w:sz w:val="24"/>
          <w:szCs w:val="24"/>
        </w:rPr>
        <w:t>Tabulation</w:t>
      </w:r>
      <w:r w:rsidRPr="00C6447F">
        <w:rPr>
          <w:sz w:val="24"/>
          <w:szCs w:val="24"/>
        </w:rPr>
        <w:t xml:space="preserve"> and verification of results.</w:t>
      </w:r>
    </w:p>
    <w:p w:rsidR="00D202FB" w:rsidRDefault="00D202FB" w:rsidP="00D202FB">
      <w:pPr>
        <w:ind w:right="360"/>
        <w:jc w:val="lowKashida"/>
        <w:rPr>
          <w:sz w:val="24"/>
          <w:szCs w:val="24"/>
        </w:rPr>
      </w:pPr>
    </w:p>
    <w:p w:rsidR="009E1D61" w:rsidRPr="00C603A9" w:rsidRDefault="009E1D61" w:rsidP="009E1D61">
      <w:pPr>
        <w:ind w:left="45"/>
        <w:jc w:val="lowKashida"/>
        <w:rPr>
          <w:sz w:val="24"/>
          <w:szCs w:val="24"/>
        </w:rPr>
      </w:pPr>
      <w:r w:rsidRPr="00C603A9">
        <w:rPr>
          <w:sz w:val="24"/>
          <w:szCs w:val="24"/>
        </w:rPr>
        <w:t xml:space="preserve">Figures in </w:t>
      </w:r>
      <w:r>
        <w:rPr>
          <w:sz w:val="24"/>
          <w:szCs w:val="24"/>
        </w:rPr>
        <w:t>this</w:t>
      </w:r>
      <w:r w:rsidRPr="00C603A9">
        <w:rPr>
          <w:sz w:val="24"/>
          <w:szCs w:val="24"/>
        </w:rPr>
        <w:t xml:space="preserve"> </w:t>
      </w:r>
      <w:r>
        <w:rPr>
          <w:sz w:val="24"/>
          <w:szCs w:val="24"/>
        </w:rPr>
        <w:t>r</w:t>
      </w:r>
      <w:r w:rsidRPr="00C603A9">
        <w:rPr>
          <w:sz w:val="24"/>
          <w:szCs w:val="24"/>
        </w:rPr>
        <w:t xml:space="preserve">eport </w:t>
      </w:r>
      <w:r>
        <w:rPr>
          <w:sz w:val="24"/>
          <w:szCs w:val="24"/>
        </w:rPr>
        <w:t>are</w:t>
      </w:r>
      <w:r w:rsidRPr="00C603A9">
        <w:rPr>
          <w:sz w:val="24"/>
          <w:szCs w:val="24"/>
        </w:rPr>
        <w:t xml:space="preserve"> based on the database created to </w:t>
      </w:r>
      <w:r>
        <w:rPr>
          <w:sz w:val="24"/>
          <w:szCs w:val="24"/>
        </w:rPr>
        <w:t>provide</w:t>
      </w:r>
      <w:r w:rsidRPr="00C603A9">
        <w:rPr>
          <w:sz w:val="24"/>
          <w:szCs w:val="24"/>
        </w:rPr>
        <w:t xml:space="preserve"> data </w:t>
      </w:r>
      <w:r>
        <w:rPr>
          <w:sz w:val="24"/>
          <w:szCs w:val="24"/>
        </w:rPr>
        <w:t>on</w:t>
      </w:r>
      <w:r w:rsidRPr="00C603A9">
        <w:rPr>
          <w:sz w:val="24"/>
          <w:szCs w:val="24"/>
        </w:rPr>
        <w:t xml:space="preserve"> </w:t>
      </w:r>
      <w:r>
        <w:rPr>
          <w:sz w:val="24"/>
          <w:szCs w:val="24"/>
        </w:rPr>
        <w:t>Israeli settlements in the West Bank, which depends on the following sources:</w:t>
      </w:r>
    </w:p>
    <w:p w:rsidR="00953976" w:rsidRPr="00C603A9" w:rsidRDefault="00953976" w:rsidP="00953976">
      <w:pPr>
        <w:ind w:left="45"/>
        <w:jc w:val="lowKashida"/>
        <w:rPr>
          <w:sz w:val="24"/>
          <w:szCs w:val="24"/>
        </w:rPr>
      </w:pPr>
    </w:p>
    <w:p w:rsidR="005E1E3C" w:rsidRPr="00F62107" w:rsidRDefault="005E1E3C" w:rsidP="00345066">
      <w:pPr>
        <w:pStyle w:val="ListParagraph"/>
        <w:numPr>
          <w:ilvl w:val="0"/>
          <w:numId w:val="11"/>
        </w:numPr>
        <w:ind w:left="284" w:hanging="284"/>
        <w:jc w:val="lowKashida"/>
        <w:rPr>
          <w:b/>
          <w:bCs/>
          <w:sz w:val="24"/>
          <w:szCs w:val="24"/>
        </w:rPr>
      </w:pPr>
      <w:r w:rsidRPr="00F62107">
        <w:rPr>
          <w:b/>
          <w:bCs/>
          <w:sz w:val="24"/>
          <w:szCs w:val="24"/>
        </w:rPr>
        <w:t>Israeli Settlements Database</w:t>
      </w:r>
      <w:r w:rsidR="008B3CD5" w:rsidRPr="00F62107">
        <w:rPr>
          <w:b/>
          <w:bCs/>
          <w:sz w:val="24"/>
          <w:szCs w:val="24"/>
        </w:rPr>
        <w:t>:</w:t>
      </w:r>
    </w:p>
    <w:p w:rsidR="009E1D61" w:rsidRPr="009E1D61" w:rsidRDefault="009E1D61" w:rsidP="009E1D61">
      <w:pPr>
        <w:ind w:left="45"/>
        <w:jc w:val="lowKashida"/>
        <w:rPr>
          <w:sz w:val="24"/>
          <w:szCs w:val="24"/>
        </w:rPr>
      </w:pPr>
      <w:r w:rsidRPr="009E1D61">
        <w:rPr>
          <w:sz w:val="24"/>
          <w:szCs w:val="24"/>
        </w:rPr>
        <w:t>Starting in 2002, PCBS has created and developed a database including all Israeli settlements in Palestine. The database is continuously updated using various data sources, such as the Palestinian Ministry of Planning and a number of Palestinian and Israeli sources, in addition to estimates based on statistical assumptions.</w:t>
      </w:r>
    </w:p>
    <w:p w:rsidR="00D202FB" w:rsidRPr="00C603A9" w:rsidRDefault="00D202FB" w:rsidP="005E1E3C">
      <w:pPr>
        <w:ind w:left="45"/>
        <w:jc w:val="lowKashida"/>
        <w:rPr>
          <w:sz w:val="24"/>
          <w:szCs w:val="24"/>
        </w:rPr>
      </w:pPr>
    </w:p>
    <w:p w:rsidR="002B6009" w:rsidRPr="00F62107" w:rsidRDefault="002B6009" w:rsidP="00345066">
      <w:pPr>
        <w:pStyle w:val="ListParagraph"/>
        <w:numPr>
          <w:ilvl w:val="0"/>
          <w:numId w:val="11"/>
        </w:numPr>
        <w:ind w:left="284" w:hanging="284"/>
        <w:jc w:val="lowKashida"/>
        <w:rPr>
          <w:b/>
          <w:bCs/>
          <w:sz w:val="24"/>
          <w:szCs w:val="24"/>
        </w:rPr>
      </w:pPr>
      <w:r w:rsidRPr="00F62107">
        <w:rPr>
          <w:b/>
          <w:bCs/>
          <w:sz w:val="24"/>
          <w:szCs w:val="24"/>
        </w:rPr>
        <w:t>Israe</w:t>
      </w:r>
      <w:r w:rsidR="008B3CD5" w:rsidRPr="00F62107">
        <w:rPr>
          <w:b/>
          <w:bCs/>
          <w:sz w:val="24"/>
          <w:szCs w:val="24"/>
        </w:rPr>
        <w:t>li Central Bureau of Statistics</w:t>
      </w:r>
      <w:r w:rsidR="00F62107" w:rsidRPr="00F62107">
        <w:rPr>
          <w:b/>
          <w:bCs/>
          <w:sz w:val="24"/>
          <w:szCs w:val="24"/>
        </w:rPr>
        <w:t xml:space="preserve"> (ICBS)</w:t>
      </w:r>
      <w:r w:rsidR="008B3CD5" w:rsidRPr="00F62107">
        <w:rPr>
          <w:b/>
          <w:bCs/>
          <w:sz w:val="24"/>
          <w:szCs w:val="24"/>
        </w:rPr>
        <w:t>:</w:t>
      </w:r>
    </w:p>
    <w:p w:rsidR="00D202FB" w:rsidRPr="00D202FB" w:rsidRDefault="00D202FB" w:rsidP="00D202FB">
      <w:pPr>
        <w:ind w:left="45"/>
        <w:rPr>
          <w:sz w:val="24"/>
          <w:szCs w:val="24"/>
        </w:rPr>
      </w:pPr>
      <w:r w:rsidRPr="00D202FB">
        <w:rPr>
          <w:sz w:val="24"/>
          <w:szCs w:val="24"/>
        </w:rPr>
        <w:t>ICBS represents the main source of data on the annual population of Israeli settlements and the establishment date of settlements, the type of settlements, regional council and institutional affiliations.</w:t>
      </w:r>
    </w:p>
    <w:p w:rsidR="00D202FB" w:rsidRPr="00D202FB" w:rsidRDefault="00D202FB" w:rsidP="00D202FB">
      <w:pPr>
        <w:ind w:left="45"/>
        <w:rPr>
          <w:sz w:val="24"/>
          <w:szCs w:val="24"/>
        </w:rPr>
      </w:pPr>
    </w:p>
    <w:p w:rsidR="002B6009" w:rsidRDefault="00D202FB" w:rsidP="00D202FB">
      <w:pPr>
        <w:ind w:left="45"/>
        <w:jc w:val="lowKashida"/>
        <w:rPr>
          <w:b/>
          <w:bCs/>
          <w:sz w:val="24"/>
          <w:szCs w:val="24"/>
        </w:rPr>
      </w:pPr>
      <w:r w:rsidRPr="00D202FB">
        <w:rPr>
          <w:sz w:val="24"/>
          <w:szCs w:val="24"/>
        </w:rPr>
        <w:t>It should be noted that this data source only covers Israeli settlements located in the West Bank. There is no data on settlements in Jerusalem area (J1).</w:t>
      </w:r>
    </w:p>
    <w:p w:rsidR="00241F73" w:rsidRDefault="00241F73" w:rsidP="005E1E3C">
      <w:pPr>
        <w:ind w:left="45"/>
        <w:jc w:val="lowKashida"/>
        <w:rPr>
          <w:b/>
          <w:bCs/>
          <w:sz w:val="24"/>
          <w:szCs w:val="24"/>
        </w:rPr>
      </w:pPr>
    </w:p>
    <w:p w:rsidR="002B6009" w:rsidRPr="00C603A9" w:rsidRDefault="002B6009" w:rsidP="00345066">
      <w:pPr>
        <w:pStyle w:val="ListParagraph"/>
        <w:numPr>
          <w:ilvl w:val="0"/>
          <w:numId w:val="11"/>
        </w:numPr>
        <w:ind w:left="284" w:hanging="284"/>
        <w:jc w:val="lowKashida"/>
        <w:rPr>
          <w:b/>
          <w:bCs/>
          <w:sz w:val="24"/>
          <w:szCs w:val="24"/>
        </w:rPr>
      </w:pPr>
      <w:r w:rsidRPr="00C603A9">
        <w:rPr>
          <w:b/>
          <w:bCs/>
          <w:sz w:val="24"/>
          <w:szCs w:val="24"/>
        </w:rPr>
        <w:t>Foundation for Middle East Peace</w:t>
      </w:r>
      <w:r w:rsidR="00F62107">
        <w:rPr>
          <w:b/>
          <w:bCs/>
          <w:sz w:val="24"/>
          <w:szCs w:val="24"/>
        </w:rPr>
        <w:t xml:space="preserve"> </w:t>
      </w:r>
      <w:r w:rsidR="00F62107" w:rsidRPr="00F62107">
        <w:rPr>
          <w:b/>
          <w:bCs/>
          <w:sz w:val="24"/>
          <w:szCs w:val="24"/>
        </w:rPr>
        <w:t>(FMEP)</w:t>
      </w:r>
      <w:r w:rsidR="008B3CD5" w:rsidRPr="00F62107">
        <w:rPr>
          <w:b/>
          <w:bCs/>
          <w:sz w:val="24"/>
          <w:szCs w:val="24"/>
        </w:rPr>
        <w:t>:</w:t>
      </w:r>
      <w:r w:rsidRPr="00C603A9">
        <w:rPr>
          <w:b/>
          <w:bCs/>
          <w:sz w:val="24"/>
          <w:szCs w:val="24"/>
        </w:rPr>
        <w:t xml:space="preserve"> </w:t>
      </w:r>
    </w:p>
    <w:p w:rsidR="00953976" w:rsidRDefault="00D202FB" w:rsidP="005E1E3C">
      <w:pPr>
        <w:ind w:left="45"/>
        <w:jc w:val="lowKashida"/>
        <w:rPr>
          <w:sz w:val="24"/>
          <w:szCs w:val="24"/>
        </w:rPr>
      </w:pPr>
      <w:r w:rsidRPr="00D202FB">
        <w:rPr>
          <w:sz w:val="24"/>
          <w:szCs w:val="24"/>
        </w:rPr>
        <w:t>FMEP represents the main source of data on the annual population of Israeli settlements with a population of less than 5,000</w:t>
      </w:r>
    </w:p>
    <w:p w:rsidR="00D202FB" w:rsidRPr="00C603A9" w:rsidRDefault="00D202FB" w:rsidP="005E1E3C">
      <w:pPr>
        <w:ind w:left="45"/>
        <w:jc w:val="lowKashida"/>
        <w:rPr>
          <w:sz w:val="24"/>
          <w:szCs w:val="24"/>
        </w:rPr>
      </w:pPr>
    </w:p>
    <w:p w:rsidR="005E1E3C" w:rsidRPr="00C603A9" w:rsidRDefault="005E1E3C" w:rsidP="00345066">
      <w:pPr>
        <w:pStyle w:val="ListParagraph"/>
        <w:numPr>
          <w:ilvl w:val="0"/>
          <w:numId w:val="11"/>
        </w:numPr>
        <w:ind w:left="284" w:hanging="284"/>
        <w:jc w:val="lowKashida"/>
        <w:rPr>
          <w:b/>
          <w:bCs/>
          <w:sz w:val="24"/>
          <w:szCs w:val="24"/>
        </w:rPr>
      </w:pPr>
      <w:r w:rsidRPr="00C603A9">
        <w:rPr>
          <w:b/>
          <w:bCs/>
          <w:sz w:val="24"/>
          <w:szCs w:val="24"/>
        </w:rPr>
        <w:t>The Jerusalem Institute for Israeli Studies</w:t>
      </w:r>
      <w:r w:rsidR="008B3CD5" w:rsidRPr="00C603A9">
        <w:rPr>
          <w:b/>
          <w:bCs/>
          <w:sz w:val="24"/>
          <w:szCs w:val="24"/>
        </w:rPr>
        <w:t>:</w:t>
      </w:r>
    </w:p>
    <w:p w:rsidR="005E1E3C" w:rsidRPr="00522476" w:rsidRDefault="00D202FB" w:rsidP="005E1E3C">
      <w:pPr>
        <w:jc w:val="lowKashida"/>
        <w:rPr>
          <w:b/>
          <w:bCs/>
          <w:sz w:val="24"/>
          <w:szCs w:val="24"/>
        </w:rPr>
      </w:pPr>
      <w:r w:rsidRPr="00D202FB">
        <w:rPr>
          <w:sz w:val="24"/>
          <w:szCs w:val="24"/>
        </w:rPr>
        <w:t>The Jerusalem Institute for Israeli Studies represents the main source for data on settlers' population of the settlements located in Jerusalem area (J1).</w:t>
      </w:r>
    </w:p>
    <w:p w:rsidR="00953976" w:rsidRDefault="00953976"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4B3890" w:rsidRDefault="004B3890">
      <w:pPr>
        <w:rPr>
          <w:sz w:val="24"/>
          <w:szCs w:val="24"/>
        </w:rPr>
      </w:pPr>
      <w:r>
        <w:rPr>
          <w:b/>
          <w:bCs/>
          <w:sz w:val="24"/>
          <w:szCs w:val="24"/>
        </w:rPr>
        <w:br w:type="page"/>
      </w:r>
    </w:p>
    <w:p w:rsidR="00241F73" w:rsidRPr="00C603A9" w:rsidRDefault="00241F73" w:rsidP="00241F73">
      <w:pPr>
        <w:pStyle w:val="Title"/>
        <w:rPr>
          <w:b w:val="0"/>
          <w:bCs w:val="0"/>
          <w:sz w:val="24"/>
          <w:szCs w:val="24"/>
        </w:rPr>
      </w:pPr>
      <w:r w:rsidRPr="00C603A9">
        <w:rPr>
          <w:b w:val="0"/>
          <w:bCs w:val="0"/>
          <w:sz w:val="24"/>
          <w:szCs w:val="24"/>
        </w:rPr>
        <w:t xml:space="preserve">Chapter </w:t>
      </w:r>
      <w:r>
        <w:rPr>
          <w:b w:val="0"/>
          <w:bCs w:val="0"/>
          <w:sz w:val="24"/>
          <w:szCs w:val="24"/>
        </w:rPr>
        <w:t>Four</w:t>
      </w:r>
    </w:p>
    <w:p w:rsidR="00241F73"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241F73" w:rsidRPr="00C603A9" w:rsidRDefault="00241F73" w:rsidP="00241F73">
      <w:pPr>
        <w:pStyle w:val="BodyText2"/>
        <w:ind w:right="-144"/>
        <w:jc w:val="center"/>
        <w:rPr>
          <w:b/>
          <w:bCs/>
          <w:sz w:val="28"/>
          <w:szCs w:val="28"/>
        </w:rPr>
      </w:pPr>
      <w:r w:rsidRPr="00C603A9">
        <w:rPr>
          <w:b/>
          <w:bCs/>
          <w:sz w:val="28"/>
          <w:szCs w:val="28"/>
        </w:rPr>
        <w:t>Data Quality</w:t>
      </w:r>
    </w:p>
    <w:p w:rsidR="00241F73" w:rsidRPr="00C603A9" w:rsidRDefault="00241F73" w:rsidP="00953976">
      <w:pPr>
        <w:pStyle w:val="BodyText2"/>
        <w:ind w:right="-144"/>
        <w:jc w:val="left"/>
        <w:rPr>
          <w:b/>
          <w:bCs/>
        </w:rPr>
      </w:pPr>
    </w:p>
    <w:p w:rsidR="005E1E3C" w:rsidRPr="00C603A9" w:rsidRDefault="00241F73" w:rsidP="00D3566E">
      <w:pPr>
        <w:pStyle w:val="BodyText2"/>
        <w:ind w:right="-144"/>
        <w:jc w:val="left"/>
        <w:rPr>
          <w:b/>
          <w:bCs/>
        </w:rPr>
      </w:pPr>
      <w:r>
        <w:rPr>
          <w:b/>
          <w:bCs/>
        </w:rPr>
        <w:t>4</w:t>
      </w:r>
      <w:r w:rsidR="005E1E3C" w:rsidRPr="00C603A9">
        <w:rPr>
          <w:b/>
          <w:bCs/>
        </w:rPr>
        <w:t>.</w:t>
      </w:r>
      <w:r>
        <w:rPr>
          <w:b/>
          <w:bCs/>
        </w:rPr>
        <w:t>1</w:t>
      </w:r>
      <w:r w:rsidR="005E1E3C" w:rsidRPr="00C603A9">
        <w:rPr>
          <w:b/>
          <w:bCs/>
        </w:rPr>
        <w:t xml:space="preserve"> </w:t>
      </w:r>
      <w:r w:rsidR="00D3566E" w:rsidRPr="00C603A9">
        <w:rPr>
          <w:b/>
          <w:bCs/>
        </w:rPr>
        <w:t xml:space="preserve">Data </w:t>
      </w:r>
      <w:r w:rsidR="00BD3273" w:rsidRPr="00C603A9">
        <w:rPr>
          <w:b/>
          <w:bCs/>
        </w:rPr>
        <w:t xml:space="preserve">Accuracy </w:t>
      </w:r>
    </w:p>
    <w:p w:rsidR="009E1D61" w:rsidRPr="00FE2948" w:rsidRDefault="009E1D61" w:rsidP="009E1D61">
      <w:pPr>
        <w:jc w:val="both"/>
        <w:rPr>
          <w:sz w:val="24"/>
          <w:szCs w:val="24"/>
        </w:rPr>
      </w:pPr>
      <w:r w:rsidRPr="00FE2948">
        <w:rPr>
          <w:sz w:val="24"/>
          <w:szCs w:val="24"/>
        </w:rPr>
        <w:t xml:space="preserve">The preparation and dissemination of documented and updated statistics related to Israeli settlements in the West Bank is extremely needed as a major tool for decision makers. Thus, PCBS has undertaken the provision of statistical data on Israeli settlements in the West Bank, in terms of the demographic features of the settlements under question. The collected data </w:t>
      </w:r>
      <w:r>
        <w:rPr>
          <w:sz w:val="24"/>
          <w:szCs w:val="24"/>
        </w:rPr>
        <w:t>are</w:t>
      </w:r>
      <w:r w:rsidRPr="00FE2948">
        <w:rPr>
          <w:sz w:val="24"/>
          <w:szCs w:val="24"/>
        </w:rPr>
        <w:t xml:space="preserve"> a reference material for analytical studies dealing with the future prospects of the settlements’ communities, and a step for developing a comprehensive database with respect to the settlements issue, and eventually it will be an information tool in the hands of all those who are interested, including strategic planners, decision-makers and researchers.</w:t>
      </w:r>
    </w:p>
    <w:p w:rsidR="00FE2948" w:rsidRPr="00FE2948" w:rsidRDefault="00FE2948" w:rsidP="00FE2948">
      <w:pPr>
        <w:rPr>
          <w:sz w:val="24"/>
          <w:szCs w:val="24"/>
        </w:rPr>
      </w:pPr>
    </w:p>
    <w:p w:rsidR="00241F73" w:rsidRDefault="00FE2948" w:rsidP="007E3175">
      <w:pPr>
        <w:jc w:val="both"/>
        <w:rPr>
          <w:sz w:val="24"/>
          <w:szCs w:val="24"/>
        </w:rPr>
      </w:pPr>
      <w:r w:rsidRPr="00FE2948">
        <w:rPr>
          <w:sz w:val="24"/>
          <w:szCs w:val="24"/>
        </w:rPr>
        <w:t xml:space="preserve">PCBS obtained data based on the constant annual growth rate of the last two years in estimating the population of the Israeli settlements in East Jerusalem in </w:t>
      </w:r>
      <w:r w:rsidR="007E3175">
        <w:rPr>
          <w:sz w:val="24"/>
          <w:szCs w:val="24"/>
        </w:rPr>
        <w:t>2020</w:t>
      </w:r>
      <w:r w:rsidRPr="00FE2948">
        <w:rPr>
          <w:sz w:val="24"/>
          <w:szCs w:val="24"/>
        </w:rPr>
        <w:t xml:space="preserve">. Due to the unusual dimension of population growth, the sources of this growth cannot respond to hypotheses including demographic exceptions, and particularly the flow of immigration or political trends that lead to discrepancies in population levels. However, the general estimates of number of settlers in the Israeli settlements at the level of the West Bank are statistically accurate and reflect a margin error of   </w:t>
      </w:r>
      <w:r w:rsidR="0023638F" w:rsidRPr="00C466AD">
        <w:rPr>
          <w:rFonts w:cs="Simplified Arabic"/>
          <w:position w:val="-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2.65pt" o:ole="">
            <v:imagedata r:id="rId17" o:title=""/>
          </v:shape>
          <o:OLEObject Type="Embed" ProgID="Equation.3" ShapeID="_x0000_i1025" DrawAspect="Content" ObjectID="_1698043690" r:id="rId18"/>
        </w:object>
      </w:r>
      <w:r w:rsidRPr="00FE2948">
        <w:rPr>
          <w:sz w:val="24"/>
          <w:szCs w:val="24"/>
        </w:rPr>
        <w:t>6%.</w:t>
      </w:r>
    </w:p>
    <w:p w:rsidR="00FE2948" w:rsidRDefault="00FE2948" w:rsidP="00FE2948">
      <w:pPr>
        <w:jc w:val="lowKashida"/>
        <w:rPr>
          <w:sz w:val="24"/>
          <w:szCs w:val="24"/>
        </w:rPr>
      </w:pPr>
    </w:p>
    <w:p w:rsidR="00241F73" w:rsidRPr="00241F73" w:rsidRDefault="00241F73" w:rsidP="005148F9">
      <w:pPr>
        <w:jc w:val="lowKashida"/>
        <w:rPr>
          <w:b/>
          <w:bCs/>
          <w:sz w:val="24"/>
          <w:szCs w:val="24"/>
        </w:rPr>
      </w:pPr>
      <w:r w:rsidRPr="00241F73">
        <w:rPr>
          <w:b/>
          <w:bCs/>
          <w:sz w:val="24"/>
          <w:szCs w:val="24"/>
        </w:rPr>
        <w:t>4.2 Comparability</w:t>
      </w:r>
    </w:p>
    <w:p w:rsidR="00FE2948" w:rsidRPr="008A54A9" w:rsidRDefault="00FE2948" w:rsidP="007E3175">
      <w:pPr>
        <w:pStyle w:val="ListParagraph"/>
        <w:numPr>
          <w:ilvl w:val="0"/>
          <w:numId w:val="15"/>
        </w:numPr>
        <w:ind w:left="567" w:hanging="283"/>
        <w:jc w:val="both"/>
        <w:rPr>
          <w:sz w:val="24"/>
          <w:szCs w:val="24"/>
          <w:rtl/>
        </w:rPr>
      </w:pPr>
      <w:r w:rsidRPr="008A54A9">
        <w:rPr>
          <w:sz w:val="24"/>
          <w:szCs w:val="24"/>
        </w:rPr>
        <w:t xml:space="preserve">Data are for the period up to the end of </w:t>
      </w:r>
      <w:r w:rsidR="007E3175">
        <w:rPr>
          <w:sz w:val="24"/>
          <w:szCs w:val="24"/>
        </w:rPr>
        <w:t>2020</w:t>
      </w:r>
      <w:r>
        <w:rPr>
          <w:sz w:val="24"/>
          <w:szCs w:val="24"/>
        </w:rPr>
        <w:t>,</w:t>
      </w:r>
      <w:r w:rsidRPr="008A54A9">
        <w:rPr>
          <w:sz w:val="24"/>
          <w:szCs w:val="24"/>
        </w:rPr>
        <w:t xml:space="preserve"> unless otherwise stated.</w:t>
      </w:r>
    </w:p>
    <w:p w:rsidR="00FE2948" w:rsidRPr="008A54A9" w:rsidRDefault="00FE2948" w:rsidP="00B739A7">
      <w:pPr>
        <w:pStyle w:val="ListParagraph"/>
        <w:numPr>
          <w:ilvl w:val="0"/>
          <w:numId w:val="15"/>
        </w:numPr>
        <w:ind w:left="567" w:hanging="283"/>
        <w:jc w:val="both"/>
        <w:rPr>
          <w:sz w:val="24"/>
          <w:szCs w:val="24"/>
        </w:rPr>
      </w:pPr>
      <w:r w:rsidRPr="008A54A9">
        <w:rPr>
          <w:sz w:val="24"/>
          <w:szCs w:val="24"/>
        </w:rPr>
        <w:t>Statistics presented in this report are derived from various sources, which are not fully consistent</w:t>
      </w:r>
      <w:r>
        <w:rPr>
          <w:sz w:val="24"/>
          <w:szCs w:val="24"/>
        </w:rPr>
        <w:t>; thus,</w:t>
      </w:r>
      <w:r w:rsidRPr="008A54A9">
        <w:rPr>
          <w:sz w:val="24"/>
          <w:szCs w:val="24"/>
        </w:rPr>
        <w:t xml:space="preserve"> this should be taken into consideration.</w:t>
      </w:r>
    </w:p>
    <w:p w:rsidR="00FE2948" w:rsidRPr="008A54A9" w:rsidRDefault="00FE2948" w:rsidP="007E3175">
      <w:pPr>
        <w:pStyle w:val="ListParagraph"/>
        <w:numPr>
          <w:ilvl w:val="0"/>
          <w:numId w:val="15"/>
        </w:numPr>
        <w:ind w:left="567" w:hanging="283"/>
        <w:jc w:val="both"/>
        <w:rPr>
          <w:sz w:val="24"/>
          <w:szCs w:val="24"/>
        </w:rPr>
      </w:pPr>
      <w:r w:rsidRPr="008A54A9">
        <w:rPr>
          <w:sz w:val="24"/>
          <w:szCs w:val="24"/>
        </w:rPr>
        <w:t xml:space="preserve">Estimating </w:t>
      </w:r>
      <w:r>
        <w:rPr>
          <w:sz w:val="24"/>
          <w:szCs w:val="24"/>
        </w:rPr>
        <w:t xml:space="preserve">the </w:t>
      </w:r>
      <w:r w:rsidRPr="008A54A9">
        <w:rPr>
          <w:sz w:val="24"/>
          <w:szCs w:val="24"/>
        </w:rPr>
        <w:t xml:space="preserve">number of Israeli </w:t>
      </w:r>
      <w:r>
        <w:rPr>
          <w:sz w:val="24"/>
          <w:szCs w:val="24"/>
        </w:rPr>
        <w:t>s</w:t>
      </w:r>
      <w:r w:rsidRPr="008A54A9">
        <w:rPr>
          <w:sz w:val="24"/>
          <w:szCs w:val="24"/>
        </w:rPr>
        <w:t xml:space="preserve">ettlers in </w:t>
      </w:r>
      <w:r>
        <w:rPr>
          <w:sz w:val="24"/>
          <w:szCs w:val="24"/>
        </w:rPr>
        <w:t>s</w:t>
      </w:r>
      <w:r w:rsidRPr="008A54A9">
        <w:rPr>
          <w:sz w:val="24"/>
          <w:szCs w:val="24"/>
        </w:rPr>
        <w:t>ettlements located in J1</w:t>
      </w:r>
      <w:r>
        <w:rPr>
          <w:sz w:val="24"/>
          <w:szCs w:val="24"/>
        </w:rPr>
        <w:t xml:space="preserve"> in</w:t>
      </w:r>
      <w:r w:rsidRPr="008A54A9">
        <w:rPr>
          <w:sz w:val="24"/>
          <w:szCs w:val="24"/>
        </w:rPr>
        <w:t xml:space="preserve"> </w:t>
      </w:r>
      <w:r w:rsidR="007E3175">
        <w:rPr>
          <w:sz w:val="24"/>
          <w:szCs w:val="24"/>
        </w:rPr>
        <w:t>2020</w:t>
      </w:r>
      <w:r w:rsidRPr="008A54A9">
        <w:rPr>
          <w:sz w:val="24"/>
          <w:szCs w:val="24"/>
        </w:rPr>
        <w:t xml:space="preserve"> is based on the constant annual growth rate of the </w:t>
      </w:r>
      <w:r>
        <w:rPr>
          <w:sz w:val="24"/>
          <w:szCs w:val="24"/>
        </w:rPr>
        <w:t>last</w:t>
      </w:r>
      <w:r w:rsidRPr="008A54A9">
        <w:rPr>
          <w:sz w:val="24"/>
          <w:szCs w:val="24"/>
        </w:rPr>
        <w:t xml:space="preserve"> two years.</w:t>
      </w:r>
    </w:p>
    <w:p w:rsidR="00FE2948" w:rsidRPr="008A54A9" w:rsidRDefault="00FE2948" w:rsidP="00B739A7">
      <w:pPr>
        <w:pStyle w:val="ListParagraph"/>
        <w:numPr>
          <w:ilvl w:val="0"/>
          <w:numId w:val="15"/>
        </w:numPr>
        <w:ind w:left="567" w:hanging="283"/>
        <w:jc w:val="both"/>
        <w:rPr>
          <w:sz w:val="24"/>
          <w:szCs w:val="24"/>
        </w:rPr>
      </w:pPr>
      <w:r w:rsidRPr="008A54A9">
        <w:rPr>
          <w:sz w:val="24"/>
          <w:szCs w:val="24"/>
        </w:rPr>
        <w:t xml:space="preserve">There is a lack of coverage </w:t>
      </w:r>
      <w:r>
        <w:rPr>
          <w:sz w:val="24"/>
          <w:szCs w:val="24"/>
        </w:rPr>
        <w:t>on</w:t>
      </w:r>
      <w:r w:rsidRPr="008A54A9">
        <w:rPr>
          <w:sz w:val="24"/>
          <w:szCs w:val="24"/>
        </w:rPr>
        <w:t xml:space="preserve"> some data from all sources.</w:t>
      </w:r>
    </w:p>
    <w:p w:rsidR="00FE2948" w:rsidRPr="008A54A9" w:rsidRDefault="00FE2948" w:rsidP="00B739A7">
      <w:pPr>
        <w:pStyle w:val="ListParagraph"/>
        <w:numPr>
          <w:ilvl w:val="0"/>
          <w:numId w:val="15"/>
        </w:numPr>
        <w:ind w:left="567" w:hanging="283"/>
        <w:jc w:val="both"/>
        <w:rPr>
          <w:sz w:val="24"/>
          <w:szCs w:val="24"/>
        </w:rPr>
      </w:pPr>
      <w:r w:rsidRPr="008A54A9">
        <w:rPr>
          <w:sz w:val="24"/>
          <w:szCs w:val="24"/>
        </w:rPr>
        <w:t>Data derived from the publications of the Israel Central Bureau of Statistics do not include those parts of Jerusalem which were annexed by Israeli occupation in 1967, in addition to settlements annexed by Israel from Ramallah and Al-Bireh or Hebron governorates.</w:t>
      </w:r>
    </w:p>
    <w:p w:rsidR="00F62107" w:rsidRDefault="00FE2948" w:rsidP="00B739A7">
      <w:pPr>
        <w:pStyle w:val="ListParagraph"/>
        <w:numPr>
          <w:ilvl w:val="0"/>
          <w:numId w:val="15"/>
        </w:numPr>
        <w:ind w:left="567" w:hanging="283"/>
        <w:jc w:val="both"/>
        <w:rPr>
          <w:sz w:val="24"/>
          <w:szCs w:val="24"/>
        </w:rPr>
      </w:pPr>
      <w:r w:rsidRPr="008A54A9">
        <w:rPr>
          <w:sz w:val="24"/>
          <w:szCs w:val="24"/>
        </w:rPr>
        <w:t xml:space="preserve">Definitions of Israeli </w:t>
      </w:r>
      <w:r>
        <w:rPr>
          <w:sz w:val="24"/>
          <w:szCs w:val="24"/>
        </w:rPr>
        <w:t>s</w:t>
      </w:r>
      <w:r w:rsidRPr="008A54A9">
        <w:rPr>
          <w:sz w:val="24"/>
          <w:szCs w:val="24"/>
        </w:rPr>
        <w:t>ettlements in terms of types are defined according to Israeli statistics</w:t>
      </w:r>
    </w:p>
    <w:p w:rsidR="00953976" w:rsidRPr="003273C8" w:rsidRDefault="00953976" w:rsidP="00953976">
      <w:pPr>
        <w:jc w:val="lowKashida"/>
        <w:rPr>
          <w:sz w:val="24"/>
          <w:szCs w:val="24"/>
        </w:rPr>
      </w:pPr>
    </w:p>
    <w:p w:rsidR="00953976" w:rsidRPr="00C603A9" w:rsidRDefault="00953976" w:rsidP="00953976">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60376E" w:rsidRPr="00C603A9" w:rsidRDefault="0060376E" w:rsidP="005E1E3C">
      <w:pPr>
        <w:pStyle w:val="Title"/>
        <w:rPr>
          <w:b w:val="0"/>
          <w:bCs w:val="0"/>
          <w:sz w:val="24"/>
          <w:szCs w:val="24"/>
        </w:rPr>
      </w:pPr>
    </w:p>
    <w:p w:rsidR="005736F1" w:rsidRPr="00C603A9" w:rsidRDefault="005736F1">
      <w:pPr>
        <w:rPr>
          <w:sz w:val="24"/>
          <w:szCs w:val="24"/>
        </w:rPr>
      </w:pPr>
      <w:r w:rsidRPr="00C603A9">
        <w:rPr>
          <w:b/>
          <w:bCs/>
          <w:sz w:val="24"/>
          <w:szCs w:val="24"/>
        </w:rPr>
        <w:br w:type="page"/>
      </w: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5E1E3C" w:rsidRPr="00C603A9" w:rsidRDefault="005E1E3C" w:rsidP="005E1E3C">
      <w:pPr>
        <w:pStyle w:val="BodyText2"/>
        <w:ind w:right="-144"/>
        <w:jc w:val="center"/>
        <w:rPr>
          <w:b/>
          <w:bCs/>
          <w:sz w:val="28"/>
          <w:szCs w:val="28"/>
        </w:rPr>
      </w:pPr>
      <w:r w:rsidRPr="00C603A9">
        <w:rPr>
          <w:b/>
          <w:bCs/>
          <w:sz w:val="28"/>
          <w:szCs w:val="28"/>
        </w:rPr>
        <w:t>References</w:t>
      </w:r>
    </w:p>
    <w:p w:rsidR="005E1E3C" w:rsidRPr="00C603A9" w:rsidRDefault="005E1E3C" w:rsidP="005E1E3C">
      <w:pPr>
        <w:pStyle w:val="BodyText2"/>
        <w:ind w:left="288" w:right="70"/>
        <w:jc w:val="left"/>
        <w:rPr>
          <w:b/>
          <w:bCs/>
        </w:rPr>
      </w:pPr>
    </w:p>
    <w:p w:rsidR="005E1E3C" w:rsidRPr="00C603A9" w:rsidRDefault="005E1E3C" w:rsidP="00CC226E">
      <w:pPr>
        <w:pStyle w:val="BodyText2"/>
        <w:numPr>
          <w:ilvl w:val="0"/>
          <w:numId w:val="6"/>
        </w:numPr>
        <w:spacing w:before="120"/>
        <w:ind w:right="0"/>
      </w:pPr>
      <w:r w:rsidRPr="00C603A9">
        <w:t xml:space="preserve">Palestinian Central Bureau of Statistics, </w:t>
      </w:r>
      <w:r w:rsidR="00CC226E">
        <w:t>2021</w:t>
      </w:r>
      <w:r w:rsidRPr="00C603A9">
        <w:t>.  Israeli Colonizing and Land Grab Database (Unpublished Data). Ramallah- Palestine.</w:t>
      </w:r>
    </w:p>
    <w:p w:rsidR="00555A17" w:rsidRDefault="00555A17" w:rsidP="00534B20">
      <w:pPr>
        <w:pStyle w:val="BodyText2"/>
        <w:numPr>
          <w:ilvl w:val="0"/>
          <w:numId w:val="6"/>
        </w:numPr>
        <w:spacing w:before="120"/>
        <w:ind w:right="0"/>
      </w:pPr>
      <w:r>
        <w:t xml:space="preserve">Palestinian Central Bureau of Statistics, </w:t>
      </w:r>
      <w:r w:rsidR="00534B20">
        <w:rPr>
          <w:rFonts w:hint="cs"/>
          <w:rtl/>
        </w:rPr>
        <w:t>2020</w:t>
      </w:r>
      <w:r>
        <w:t xml:space="preserve">. Estimates based on the final results of Population, Housing and Establishment Census </w:t>
      </w:r>
      <w:r w:rsidRPr="00555A17">
        <w:t>2017</w:t>
      </w:r>
      <w:r>
        <w:t>. Ramallah-Palestine</w:t>
      </w:r>
    </w:p>
    <w:p w:rsidR="005E1E3C" w:rsidRPr="00C603A9" w:rsidRDefault="005E1E3C" w:rsidP="00BA1C56">
      <w:pPr>
        <w:pStyle w:val="BodyText2"/>
        <w:numPr>
          <w:ilvl w:val="0"/>
          <w:numId w:val="6"/>
        </w:numPr>
        <w:spacing w:before="120"/>
        <w:ind w:right="0"/>
      </w:pPr>
      <w:r w:rsidRPr="00C603A9">
        <w:t>PLO Negotiations Affairs Department, July 2009.</w:t>
      </w:r>
      <w:r w:rsidR="00AD6A27">
        <w:t xml:space="preserve"> </w:t>
      </w:r>
      <w:r w:rsidRPr="00C603A9">
        <w:t>Barrier to Peace: Assessment of Israel’s Barrier Route.  Ramallah-Palestine.</w:t>
      </w:r>
    </w:p>
    <w:p w:rsidR="005E1E3C" w:rsidRPr="00C603A9" w:rsidRDefault="005E1E3C" w:rsidP="00BA1C56">
      <w:pPr>
        <w:pStyle w:val="BodyText2"/>
        <w:numPr>
          <w:ilvl w:val="0"/>
          <w:numId w:val="6"/>
        </w:numPr>
        <w:spacing w:before="120"/>
        <w:ind w:right="0"/>
      </w:pPr>
      <w:r w:rsidRPr="00C603A9">
        <w:t>Foundation for Middle East Peace, May-June 2008.  Report on Israeli Settlement</w:t>
      </w:r>
      <w:r w:rsidRPr="00C603A9">
        <w:br/>
        <w:t>in the Occupied Territories, Vol. 17, No. 3, Washington D.C.</w:t>
      </w:r>
    </w:p>
    <w:p w:rsidR="005E1E3C" w:rsidRPr="00C603A9" w:rsidRDefault="005E1E3C" w:rsidP="007E3175">
      <w:pPr>
        <w:pStyle w:val="BodyText2"/>
        <w:numPr>
          <w:ilvl w:val="0"/>
          <w:numId w:val="6"/>
        </w:numPr>
        <w:spacing w:before="120"/>
        <w:ind w:right="0"/>
      </w:pPr>
      <w:r w:rsidRPr="00C603A9">
        <w:t>Israel Central Bureau of Statistics, Statistical Abstract of Is</w:t>
      </w:r>
      <w:r w:rsidR="00525A46" w:rsidRPr="00C603A9">
        <w:t>rael.  Jerusalem, Various Years, (2003-</w:t>
      </w:r>
      <w:r w:rsidR="007E3175">
        <w:t>2020</w:t>
      </w:r>
      <w:r w:rsidR="00525A46" w:rsidRPr="00C603A9">
        <w:t>)</w:t>
      </w:r>
      <w:r w:rsidRPr="00C603A9">
        <w:t xml:space="preserve"> </w:t>
      </w:r>
    </w:p>
    <w:p w:rsidR="00314A4F" w:rsidRDefault="00314A4F" w:rsidP="007E3175">
      <w:pPr>
        <w:pStyle w:val="BodyText2"/>
        <w:numPr>
          <w:ilvl w:val="0"/>
          <w:numId w:val="6"/>
        </w:numPr>
        <w:spacing w:before="120"/>
        <w:ind w:right="0"/>
      </w:pPr>
      <w:r w:rsidRPr="00314A4F">
        <w:t xml:space="preserve">The Jerusalem Institute for Israeli Studies </w:t>
      </w:r>
      <w:r w:rsidR="007E3175">
        <w:t>2021</w:t>
      </w:r>
      <w:r w:rsidRPr="00314A4F">
        <w:t xml:space="preserve">, Statistical Yearbook of Jerusalem </w:t>
      </w:r>
      <w:r w:rsidR="007E3175">
        <w:t>2020</w:t>
      </w:r>
      <w:r w:rsidR="003F2BE8">
        <w:t xml:space="preserve"> </w:t>
      </w:r>
      <w:r w:rsidRPr="00314A4F">
        <w:t xml:space="preserve">(No </w:t>
      </w:r>
      <w:r w:rsidR="007E3175">
        <w:t>35</w:t>
      </w:r>
      <w:r w:rsidRPr="00314A4F">
        <w:t>). Jerusalem.</w:t>
      </w:r>
    </w:p>
    <w:p w:rsidR="000F080C" w:rsidRDefault="005E1E3C" w:rsidP="00BA1C56">
      <w:pPr>
        <w:pStyle w:val="BodyText2"/>
        <w:numPr>
          <w:ilvl w:val="0"/>
          <w:numId w:val="6"/>
        </w:numPr>
        <w:spacing w:before="120"/>
        <w:ind w:right="0"/>
      </w:pPr>
      <w:r w:rsidRPr="00C603A9">
        <w:t>The Israeli Information Center for Human Rights in the Occupied Territories (B'TSELEM), 2002.  Land Grab-Israel’s Settl</w:t>
      </w:r>
      <w:r w:rsidR="0029480A">
        <w:t xml:space="preserve">ement Policy in the West Bank. </w:t>
      </w:r>
    </w:p>
    <w:p w:rsidR="005E1E3C" w:rsidRPr="00C603A9" w:rsidRDefault="005E1E3C" w:rsidP="005E1E3C">
      <w:pPr>
        <w:pStyle w:val="Title"/>
        <w:ind w:left="-2"/>
      </w:pPr>
      <w:r w:rsidRPr="00C603A9">
        <w:t xml:space="preserve"> </w:t>
      </w:r>
    </w:p>
    <w:p w:rsidR="005E1E3C" w:rsidRPr="00C603A9" w:rsidRDefault="005E1E3C" w:rsidP="005E1E3C">
      <w:pPr>
        <w:pStyle w:val="BodyTextIndent2"/>
        <w:ind w:left="0"/>
        <w:rPr>
          <w:rtl/>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1A3F81">
      <w:pPr>
        <w:tabs>
          <w:tab w:val="left" w:pos="5793"/>
        </w:tabs>
      </w:pPr>
    </w:p>
    <w:sectPr w:rsidR="005E1E3C" w:rsidRPr="00C603A9" w:rsidSect="006505D8">
      <w:headerReference w:type="default" r:id="rId19"/>
      <w:footerReference w:type="default" r:id="rId20"/>
      <w:pgSz w:w="11909" w:h="16834" w:code="9"/>
      <w:pgMar w:top="1418" w:right="1418" w:bottom="1418" w:left="1418" w:header="720" w:footer="720" w:gutter="0"/>
      <w:pgNumType w:start="1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5E1" w:rsidRDefault="008325E1">
      <w:r>
        <w:separator/>
      </w:r>
    </w:p>
  </w:endnote>
  <w:endnote w:type="continuationSeparator" w:id="0">
    <w:p w:rsidR="008325E1" w:rsidRDefault="0083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61" w:rsidRPr="00096737" w:rsidRDefault="009E1D61">
    <w:pPr>
      <w:pStyle w:val="Footer"/>
      <w:jc w:val="center"/>
      <w:rPr>
        <w:rFonts w:cs="Times New Roman"/>
        <w:b/>
        <w:bCs/>
        <w:sz w:val="20"/>
        <w:szCs w:val="20"/>
      </w:rPr>
    </w:pPr>
    <w:r>
      <w:rPr>
        <w:rFonts w:cs="Times New Roman"/>
        <w:b/>
        <w:bCs/>
        <w:sz w:val="20"/>
        <w:szCs w:val="20"/>
      </w:rPr>
      <w:t>]</w:t>
    </w:r>
    <w:r w:rsidRPr="00096737">
      <w:rPr>
        <w:rFonts w:cs="Times New Roman"/>
        <w:b/>
        <w:bCs/>
        <w:sz w:val="20"/>
        <w:szCs w:val="20"/>
      </w:rPr>
      <w:fldChar w:fldCharType="begin"/>
    </w:r>
    <w:r w:rsidRPr="00096737">
      <w:rPr>
        <w:rFonts w:cs="Times New Roman"/>
        <w:b/>
        <w:bCs/>
        <w:sz w:val="20"/>
        <w:szCs w:val="20"/>
      </w:rPr>
      <w:instrText xml:space="preserve"> PAGE   \* MERGEFORMAT </w:instrText>
    </w:r>
    <w:r w:rsidRPr="00096737">
      <w:rPr>
        <w:rFonts w:cs="Times New Roman"/>
        <w:b/>
        <w:bCs/>
        <w:sz w:val="20"/>
        <w:szCs w:val="20"/>
      </w:rPr>
      <w:fldChar w:fldCharType="separate"/>
    </w:r>
    <w:r w:rsidR="007325EE">
      <w:rPr>
        <w:rFonts w:cs="Times New Roman"/>
        <w:b/>
        <w:bCs/>
        <w:sz w:val="20"/>
        <w:szCs w:val="20"/>
        <w:rtl/>
      </w:rPr>
      <w:t>27</w:t>
    </w:r>
    <w:r w:rsidRPr="00096737">
      <w:rPr>
        <w:rFonts w:cs="Times New Roman"/>
        <w:b/>
        <w:bCs/>
        <w:sz w:val="20"/>
        <w:szCs w:val="20"/>
      </w:rPr>
      <w:fldChar w:fldCharType="end"/>
    </w:r>
    <w:r>
      <w:rPr>
        <w:rFonts w:cs="Times New Roman"/>
        <w:b/>
        <w:bCs/>
        <w:sz w:val="20"/>
        <w:szCs w:val="20"/>
      </w:rPr>
      <w:t>[</w:t>
    </w:r>
  </w:p>
  <w:p w:rsidR="009E1D61" w:rsidRDefault="009E1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5E1" w:rsidRDefault="008325E1">
      <w:r>
        <w:separator/>
      </w:r>
    </w:p>
  </w:footnote>
  <w:footnote w:type="continuationSeparator" w:id="0">
    <w:p w:rsidR="008325E1" w:rsidRDefault="0083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61" w:rsidRPr="00A078D4" w:rsidRDefault="009E1D61" w:rsidP="00706476">
    <w:pPr>
      <w:pStyle w:val="Header"/>
      <w:bidi w:val="0"/>
      <w:rPr>
        <w:rFonts w:ascii="Arial" w:hAnsi="Arial" w:cs="Arial"/>
        <w:sz w:val="16"/>
        <w:szCs w:val="16"/>
        <w:rtl/>
      </w:rPr>
    </w:pPr>
    <w:r w:rsidRPr="00A078D4">
      <w:rPr>
        <w:rFonts w:ascii="Arial" w:hAnsi="Arial" w:cs="Arial"/>
        <w:sz w:val="16"/>
        <w:szCs w:val="16"/>
      </w:rPr>
      <w:t xml:space="preserve">PCBS: Israeli Settlements in </w:t>
    </w:r>
    <w:r w:rsidRPr="00F003CB">
      <w:rPr>
        <w:rFonts w:ascii="Arial" w:hAnsi="Arial" w:cs="Arial"/>
        <w:sz w:val="16"/>
        <w:szCs w:val="16"/>
      </w:rPr>
      <w:t>the West Bank</w:t>
    </w:r>
    <w:r>
      <w:rPr>
        <w:rFonts w:ascii="Arial" w:hAnsi="Arial" w:cs="Arial"/>
        <w:sz w:val="16"/>
        <w:szCs w:val="16"/>
      </w:rPr>
      <w:t>,</w:t>
    </w:r>
    <w:r w:rsidRPr="00A078D4">
      <w:rPr>
        <w:rFonts w:ascii="Arial" w:hAnsi="Arial" w:cs="Arial"/>
        <w:sz w:val="16"/>
        <w:szCs w:val="16"/>
      </w:rPr>
      <w:t xml:space="preserve"> </w:t>
    </w:r>
    <w:r>
      <w:rPr>
        <w:rFonts w:ascii="Arial" w:hAnsi="Arial" w:cs="Arial"/>
        <w:sz w:val="16"/>
        <w:szCs w:val="16"/>
      </w:rPr>
      <w:t>2020</w:t>
    </w:r>
    <w:r w:rsidRPr="00A078D4">
      <w:rPr>
        <w:rFonts w:ascii="Arial" w:hAnsi="Arial" w:cs="Arial"/>
        <w:sz w:val="16"/>
        <w:szCs w:val="16"/>
        <w:rt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61" w:rsidRPr="00A078D4" w:rsidRDefault="009E1D61" w:rsidP="00706476">
    <w:pPr>
      <w:pStyle w:val="Header"/>
      <w:bidi w:val="0"/>
      <w:rPr>
        <w:rFonts w:ascii="Arial" w:hAnsi="Arial" w:cs="Arial"/>
        <w:sz w:val="16"/>
        <w:szCs w:val="16"/>
        <w:rtl/>
      </w:rPr>
    </w:pPr>
    <w:r w:rsidRPr="00A078D4">
      <w:rPr>
        <w:rFonts w:ascii="Arial" w:hAnsi="Arial" w:cs="Arial"/>
        <w:sz w:val="16"/>
        <w:szCs w:val="16"/>
      </w:rPr>
      <w:t xml:space="preserve">PCBS: Israeli Settlements in </w:t>
    </w:r>
    <w:r>
      <w:rPr>
        <w:rFonts w:ascii="Arial" w:hAnsi="Arial" w:cs="Arial"/>
        <w:sz w:val="16"/>
        <w:szCs w:val="16"/>
      </w:rPr>
      <w:t xml:space="preserve">the </w:t>
    </w:r>
    <w:r w:rsidRPr="00F003CB">
      <w:rPr>
        <w:rFonts w:ascii="Arial" w:hAnsi="Arial" w:cs="Arial"/>
        <w:sz w:val="16"/>
        <w:szCs w:val="16"/>
      </w:rPr>
      <w:t>West Bank</w:t>
    </w:r>
    <w:r>
      <w:rPr>
        <w:rFonts w:ascii="Arial" w:hAnsi="Arial" w:cs="Arial"/>
        <w:sz w:val="16"/>
        <w:szCs w:val="16"/>
      </w:rPr>
      <w:t>,</w:t>
    </w:r>
    <w:r w:rsidRPr="00A078D4">
      <w:rPr>
        <w:rFonts w:ascii="Arial" w:hAnsi="Arial" w:cs="Arial"/>
        <w:sz w:val="16"/>
        <w:szCs w:val="16"/>
      </w:rPr>
      <w:t xml:space="preserve"> </w:t>
    </w:r>
    <w:r>
      <w:rPr>
        <w:rFonts w:ascii="Arial" w:hAnsi="Arial" w:cs="Arial"/>
        <w:sz w:val="16"/>
        <w:szCs w:val="16"/>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15:restartNumberingAfterBreak="0">
    <w:nsid w:val="25160431"/>
    <w:multiLevelType w:val="hybridMultilevel"/>
    <w:tmpl w:val="E3B6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5" w15:restartNumberingAfterBreak="0">
    <w:nsid w:val="339C1CE6"/>
    <w:multiLevelType w:val="hybridMultilevel"/>
    <w:tmpl w:val="9DAC3E3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33B43CFD"/>
    <w:multiLevelType w:val="hybridMultilevel"/>
    <w:tmpl w:val="E3E8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15:restartNumberingAfterBreak="0">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9" w15:restartNumberingAfterBreak="0">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0" w15:restartNumberingAfterBreak="0">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730421B7"/>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2" w15:restartNumberingAfterBreak="0">
    <w:nsid w:val="7388779C"/>
    <w:multiLevelType w:val="hybridMultilevel"/>
    <w:tmpl w:val="AF5E2FE2"/>
    <w:lvl w:ilvl="0" w:tplc="A4DC24F8">
      <w:start w:val="1"/>
      <w:numFmt w:val="decimal"/>
      <w:lvlText w:val="%1."/>
      <w:lvlJc w:val="left"/>
      <w:pPr>
        <w:tabs>
          <w:tab w:val="num" w:pos="361"/>
        </w:tabs>
        <w:ind w:left="361" w:hanging="360"/>
      </w:pPr>
      <w:rPr>
        <w:rFonts w:ascii="Times New Roman" w:hAnsi="Times New Roman" w:cs="Times New Roman" w:hint="default"/>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13" w15:restartNumberingAfterBreak="0">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4" w15:restartNumberingAfterBreak="0">
    <w:nsid w:val="785224FE"/>
    <w:multiLevelType w:val="hybridMultilevel"/>
    <w:tmpl w:val="BB2E4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7"/>
  </w:num>
  <w:num w:numId="4">
    <w:abstractNumId w:val="9"/>
  </w:num>
  <w:num w:numId="5">
    <w:abstractNumId w:val="8"/>
  </w:num>
  <w:num w:numId="6">
    <w:abstractNumId w:val="4"/>
  </w:num>
  <w:num w:numId="7">
    <w:abstractNumId w:val="13"/>
  </w:num>
  <w:num w:numId="8">
    <w:abstractNumId w:val="2"/>
  </w:num>
  <w:num w:numId="9">
    <w:abstractNumId w:val="11"/>
  </w:num>
  <w:num w:numId="10">
    <w:abstractNumId w:val="1"/>
  </w:num>
  <w:num w:numId="11">
    <w:abstractNumId w:val="5"/>
  </w:num>
  <w:num w:numId="12">
    <w:abstractNumId w:val="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FF5"/>
    <w:rsid w:val="00001239"/>
    <w:rsid w:val="00001F23"/>
    <w:rsid w:val="00010CFC"/>
    <w:rsid w:val="000139E4"/>
    <w:rsid w:val="000164E5"/>
    <w:rsid w:val="000217FC"/>
    <w:rsid w:val="00026110"/>
    <w:rsid w:val="00033396"/>
    <w:rsid w:val="00034AAB"/>
    <w:rsid w:val="00035C07"/>
    <w:rsid w:val="00037DB1"/>
    <w:rsid w:val="000409B9"/>
    <w:rsid w:val="00041476"/>
    <w:rsid w:val="00043A98"/>
    <w:rsid w:val="00051A30"/>
    <w:rsid w:val="00060A79"/>
    <w:rsid w:val="00064213"/>
    <w:rsid w:val="00064F30"/>
    <w:rsid w:val="000658F1"/>
    <w:rsid w:val="000659C5"/>
    <w:rsid w:val="00067F02"/>
    <w:rsid w:val="0007030C"/>
    <w:rsid w:val="0007221C"/>
    <w:rsid w:val="00072AB3"/>
    <w:rsid w:val="00074851"/>
    <w:rsid w:val="00080126"/>
    <w:rsid w:val="00090BC9"/>
    <w:rsid w:val="00092D2D"/>
    <w:rsid w:val="00093ACB"/>
    <w:rsid w:val="000944FF"/>
    <w:rsid w:val="00096737"/>
    <w:rsid w:val="000A02CF"/>
    <w:rsid w:val="000A4537"/>
    <w:rsid w:val="000A6E15"/>
    <w:rsid w:val="000A7E4F"/>
    <w:rsid w:val="000B3906"/>
    <w:rsid w:val="000B5124"/>
    <w:rsid w:val="000B7819"/>
    <w:rsid w:val="000B7C5F"/>
    <w:rsid w:val="000C3A70"/>
    <w:rsid w:val="000C4E3B"/>
    <w:rsid w:val="000C589F"/>
    <w:rsid w:val="000C5DFE"/>
    <w:rsid w:val="000C5E4F"/>
    <w:rsid w:val="000D1BF9"/>
    <w:rsid w:val="000D1DB9"/>
    <w:rsid w:val="000D61D3"/>
    <w:rsid w:val="000E3502"/>
    <w:rsid w:val="000E3ED8"/>
    <w:rsid w:val="000F07C5"/>
    <w:rsid w:val="000F080C"/>
    <w:rsid w:val="000F5836"/>
    <w:rsid w:val="000F6F43"/>
    <w:rsid w:val="00106699"/>
    <w:rsid w:val="00107314"/>
    <w:rsid w:val="00107DBF"/>
    <w:rsid w:val="00110432"/>
    <w:rsid w:val="00110CB5"/>
    <w:rsid w:val="001116A1"/>
    <w:rsid w:val="0011175A"/>
    <w:rsid w:val="0013412C"/>
    <w:rsid w:val="00135349"/>
    <w:rsid w:val="00140E6B"/>
    <w:rsid w:val="00147754"/>
    <w:rsid w:val="001510CB"/>
    <w:rsid w:val="0015335C"/>
    <w:rsid w:val="00153CA1"/>
    <w:rsid w:val="00161F27"/>
    <w:rsid w:val="00162AA7"/>
    <w:rsid w:val="00171D1C"/>
    <w:rsid w:val="00174F7D"/>
    <w:rsid w:val="00183095"/>
    <w:rsid w:val="0018608E"/>
    <w:rsid w:val="00187728"/>
    <w:rsid w:val="00194632"/>
    <w:rsid w:val="00195ADD"/>
    <w:rsid w:val="00197068"/>
    <w:rsid w:val="00197BF8"/>
    <w:rsid w:val="00197D5E"/>
    <w:rsid w:val="001A156F"/>
    <w:rsid w:val="001A3F81"/>
    <w:rsid w:val="001A7F19"/>
    <w:rsid w:val="001B051A"/>
    <w:rsid w:val="001B2E52"/>
    <w:rsid w:val="001B445F"/>
    <w:rsid w:val="001B64A5"/>
    <w:rsid w:val="001C1CE4"/>
    <w:rsid w:val="001C2899"/>
    <w:rsid w:val="001C5266"/>
    <w:rsid w:val="001C55DA"/>
    <w:rsid w:val="001D1F55"/>
    <w:rsid w:val="001D7025"/>
    <w:rsid w:val="001D73BE"/>
    <w:rsid w:val="001D7AFC"/>
    <w:rsid w:val="001E0839"/>
    <w:rsid w:val="001E0FFE"/>
    <w:rsid w:val="001E5B82"/>
    <w:rsid w:val="001E5F29"/>
    <w:rsid w:val="001E7866"/>
    <w:rsid w:val="001E7F71"/>
    <w:rsid w:val="001F162E"/>
    <w:rsid w:val="001F1DFC"/>
    <w:rsid w:val="001F262D"/>
    <w:rsid w:val="001F3367"/>
    <w:rsid w:val="001F6196"/>
    <w:rsid w:val="00200C08"/>
    <w:rsid w:val="0020211B"/>
    <w:rsid w:val="002025C8"/>
    <w:rsid w:val="00202842"/>
    <w:rsid w:val="002140A9"/>
    <w:rsid w:val="00216070"/>
    <w:rsid w:val="00222249"/>
    <w:rsid w:val="0022409A"/>
    <w:rsid w:val="00225C52"/>
    <w:rsid w:val="0022724C"/>
    <w:rsid w:val="002323A4"/>
    <w:rsid w:val="00234636"/>
    <w:rsid w:val="0023638F"/>
    <w:rsid w:val="0024094D"/>
    <w:rsid w:val="00241F73"/>
    <w:rsid w:val="00257743"/>
    <w:rsid w:val="00257785"/>
    <w:rsid w:val="00257EB1"/>
    <w:rsid w:val="0026086E"/>
    <w:rsid w:val="002633B2"/>
    <w:rsid w:val="00264E4E"/>
    <w:rsid w:val="00265C6A"/>
    <w:rsid w:val="00267BA8"/>
    <w:rsid w:val="00272772"/>
    <w:rsid w:val="00274BD0"/>
    <w:rsid w:val="0027795D"/>
    <w:rsid w:val="002826A8"/>
    <w:rsid w:val="00282DFD"/>
    <w:rsid w:val="002900B6"/>
    <w:rsid w:val="00290248"/>
    <w:rsid w:val="00291DD6"/>
    <w:rsid w:val="0029480A"/>
    <w:rsid w:val="00294D77"/>
    <w:rsid w:val="002A03F7"/>
    <w:rsid w:val="002A1B19"/>
    <w:rsid w:val="002A2D21"/>
    <w:rsid w:val="002A5920"/>
    <w:rsid w:val="002A67F1"/>
    <w:rsid w:val="002A79BF"/>
    <w:rsid w:val="002B0722"/>
    <w:rsid w:val="002B0E28"/>
    <w:rsid w:val="002B0E5D"/>
    <w:rsid w:val="002B3F6F"/>
    <w:rsid w:val="002B6009"/>
    <w:rsid w:val="002B6446"/>
    <w:rsid w:val="002C134A"/>
    <w:rsid w:val="002C144E"/>
    <w:rsid w:val="002C15A1"/>
    <w:rsid w:val="002C1EB8"/>
    <w:rsid w:val="002C3FB7"/>
    <w:rsid w:val="002C4538"/>
    <w:rsid w:val="002C65E4"/>
    <w:rsid w:val="002C6D02"/>
    <w:rsid w:val="002D15C2"/>
    <w:rsid w:val="002D33CC"/>
    <w:rsid w:val="002E277C"/>
    <w:rsid w:val="002E4F89"/>
    <w:rsid w:val="002E5D6B"/>
    <w:rsid w:val="002E6099"/>
    <w:rsid w:val="002F00D1"/>
    <w:rsid w:val="002F0119"/>
    <w:rsid w:val="002F175E"/>
    <w:rsid w:val="002F4020"/>
    <w:rsid w:val="002F4F73"/>
    <w:rsid w:val="002F6AF9"/>
    <w:rsid w:val="0030011F"/>
    <w:rsid w:val="003004BA"/>
    <w:rsid w:val="00307E60"/>
    <w:rsid w:val="00307F07"/>
    <w:rsid w:val="003122B7"/>
    <w:rsid w:val="00312498"/>
    <w:rsid w:val="003128BD"/>
    <w:rsid w:val="00314A4F"/>
    <w:rsid w:val="003156FE"/>
    <w:rsid w:val="003162B7"/>
    <w:rsid w:val="00320AFC"/>
    <w:rsid w:val="003260D2"/>
    <w:rsid w:val="003273C8"/>
    <w:rsid w:val="0034215B"/>
    <w:rsid w:val="00342E6E"/>
    <w:rsid w:val="003435FE"/>
    <w:rsid w:val="0034462B"/>
    <w:rsid w:val="00345066"/>
    <w:rsid w:val="00357DA6"/>
    <w:rsid w:val="00362AAD"/>
    <w:rsid w:val="00366613"/>
    <w:rsid w:val="00367B61"/>
    <w:rsid w:val="003703E4"/>
    <w:rsid w:val="00374A83"/>
    <w:rsid w:val="0038395B"/>
    <w:rsid w:val="00383DE3"/>
    <w:rsid w:val="00391025"/>
    <w:rsid w:val="003916F1"/>
    <w:rsid w:val="00392CA9"/>
    <w:rsid w:val="00392F20"/>
    <w:rsid w:val="0039734F"/>
    <w:rsid w:val="003A2382"/>
    <w:rsid w:val="003A3700"/>
    <w:rsid w:val="003A750B"/>
    <w:rsid w:val="003A750E"/>
    <w:rsid w:val="003B14AD"/>
    <w:rsid w:val="003B4725"/>
    <w:rsid w:val="003C023D"/>
    <w:rsid w:val="003C73E8"/>
    <w:rsid w:val="003D1F9B"/>
    <w:rsid w:val="003D325E"/>
    <w:rsid w:val="003E046E"/>
    <w:rsid w:val="003E3DB7"/>
    <w:rsid w:val="003E5C56"/>
    <w:rsid w:val="003E736E"/>
    <w:rsid w:val="003E7ECC"/>
    <w:rsid w:val="003F2BE8"/>
    <w:rsid w:val="003F3A56"/>
    <w:rsid w:val="003F6AC6"/>
    <w:rsid w:val="003F6EB0"/>
    <w:rsid w:val="003F7A5D"/>
    <w:rsid w:val="0040129D"/>
    <w:rsid w:val="00402520"/>
    <w:rsid w:val="00403D10"/>
    <w:rsid w:val="004059E3"/>
    <w:rsid w:val="00410289"/>
    <w:rsid w:val="00413583"/>
    <w:rsid w:val="0041524D"/>
    <w:rsid w:val="00416833"/>
    <w:rsid w:val="0042164D"/>
    <w:rsid w:val="00421821"/>
    <w:rsid w:val="0042703D"/>
    <w:rsid w:val="00436C18"/>
    <w:rsid w:val="00447AF0"/>
    <w:rsid w:val="00447EE4"/>
    <w:rsid w:val="00451DEA"/>
    <w:rsid w:val="0045554A"/>
    <w:rsid w:val="00460863"/>
    <w:rsid w:val="00463463"/>
    <w:rsid w:val="00465182"/>
    <w:rsid w:val="0047611E"/>
    <w:rsid w:val="00480785"/>
    <w:rsid w:val="004840C4"/>
    <w:rsid w:val="00486361"/>
    <w:rsid w:val="00487E1F"/>
    <w:rsid w:val="004905DF"/>
    <w:rsid w:val="004A24CE"/>
    <w:rsid w:val="004A455D"/>
    <w:rsid w:val="004A47E9"/>
    <w:rsid w:val="004A6008"/>
    <w:rsid w:val="004B00BB"/>
    <w:rsid w:val="004B3890"/>
    <w:rsid w:val="004B47EA"/>
    <w:rsid w:val="004B5119"/>
    <w:rsid w:val="004C1D17"/>
    <w:rsid w:val="004C2A86"/>
    <w:rsid w:val="004C36C4"/>
    <w:rsid w:val="004C4F05"/>
    <w:rsid w:val="004D0F04"/>
    <w:rsid w:val="004D77F6"/>
    <w:rsid w:val="004E1989"/>
    <w:rsid w:val="004E3298"/>
    <w:rsid w:val="004F1CDA"/>
    <w:rsid w:val="004F482F"/>
    <w:rsid w:val="004F5B09"/>
    <w:rsid w:val="005014BC"/>
    <w:rsid w:val="00503BC4"/>
    <w:rsid w:val="00512EE7"/>
    <w:rsid w:val="00512FD7"/>
    <w:rsid w:val="005136BD"/>
    <w:rsid w:val="00513F7E"/>
    <w:rsid w:val="005148F9"/>
    <w:rsid w:val="005217DF"/>
    <w:rsid w:val="00521F01"/>
    <w:rsid w:val="00522476"/>
    <w:rsid w:val="00525A46"/>
    <w:rsid w:val="005303D8"/>
    <w:rsid w:val="005311BD"/>
    <w:rsid w:val="00534B20"/>
    <w:rsid w:val="005419E2"/>
    <w:rsid w:val="00543507"/>
    <w:rsid w:val="00543B07"/>
    <w:rsid w:val="005506A2"/>
    <w:rsid w:val="00551CFA"/>
    <w:rsid w:val="00554393"/>
    <w:rsid w:val="00554FE7"/>
    <w:rsid w:val="00555A17"/>
    <w:rsid w:val="00556D30"/>
    <w:rsid w:val="00560E8C"/>
    <w:rsid w:val="0056160C"/>
    <w:rsid w:val="0056233D"/>
    <w:rsid w:val="005660DB"/>
    <w:rsid w:val="00567371"/>
    <w:rsid w:val="00570AE0"/>
    <w:rsid w:val="005736F1"/>
    <w:rsid w:val="00575D02"/>
    <w:rsid w:val="005771FB"/>
    <w:rsid w:val="0058055A"/>
    <w:rsid w:val="00583DF6"/>
    <w:rsid w:val="005857BC"/>
    <w:rsid w:val="005858F5"/>
    <w:rsid w:val="00586E3C"/>
    <w:rsid w:val="00587BC6"/>
    <w:rsid w:val="005901C7"/>
    <w:rsid w:val="005902AF"/>
    <w:rsid w:val="00590D67"/>
    <w:rsid w:val="00591056"/>
    <w:rsid w:val="00591AAA"/>
    <w:rsid w:val="00595E20"/>
    <w:rsid w:val="00596923"/>
    <w:rsid w:val="005A0F57"/>
    <w:rsid w:val="005A67C0"/>
    <w:rsid w:val="005A72A3"/>
    <w:rsid w:val="005B0C6B"/>
    <w:rsid w:val="005B4A0D"/>
    <w:rsid w:val="005B585F"/>
    <w:rsid w:val="005B7291"/>
    <w:rsid w:val="005C466B"/>
    <w:rsid w:val="005C6D62"/>
    <w:rsid w:val="005C7979"/>
    <w:rsid w:val="005D74B1"/>
    <w:rsid w:val="005E1E3C"/>
    <w:rsid w:val="005E416B"/>
    <w:rsid w:val="005E6DB3"/>
    <w:rsid w:val="005F5016"/>
    <w:rsid w:val="00600181"/>
    <w:rsid w:val="0060376E"/>
    <w:rsid w:val="00607376"/>
    <w:rsid w:val="00610347"/>
    <w:rsid w:val="00612B21"/>
    <w:rsid w:val="00615129"/>
    <w:rsid w:val="006156E4"/>
    <w:rsid w:val="006210AC"/>
    <w:rsid w:val="006216BE"/>
    <w:rsid w:val="00623189"/>
    <w:rsid w:val="00623772"/>
    <w:rsid w:val="0062479E"/>
    <w:rsid w:val="006349A6"/>
    <w:rsid w:val="00636311"/>
    <w:rsid w:val="00642F54"/>
    <w:rsid w:val="00646183"/>
    <w:rsid w:val="00646F70"/>
    <w:rsid w:val="006471DC"/>
    <w:rsid w:val="006505D8"/>
    <w:rsid w:val="006562A0"/>
    <w:rsid w:val="00656361"/>
    <w:rsid w:val="006565FF"/>
    <w:rsid w:val="00661C04"/>
    <w:rsid w:val="00667550"/>
    <w:rsid w:val="00670876"/>
    <w:rsid w:val="006711C2"/>
    <w:rsid w:val="006728C1"/>
    <w:rsid w:val="0067719E"/>
    <w:rsid w:val="00680663"/>
    <w:rsid w:val="00683EBD"/>
    <w:rsid w:val="0068466E"/>
    <w:rsid w:val="006916E8"/>
    <w:rsid w:val="00695FB3"/>
    <w:rsid w:val="006A3931"/>
    <w:rsid w:val="006A7D32"/>
    <w:rsid w:val="006B65E1"/>
    <w:rsid w:val="006B775C"/>
    <w:rsid w:val="006B7FD4"/>
    <w:rsid w:val="006C232D"/>
    <w:rsid w:val="006C454F"/>
    <w:rsid w:val="006F5E4F"/>
    <w:rsid w:val="006F6D02"/>
    <w:rsid w:val="0070256D"/>
    <w:rsid w:val="00703123"/>
    <w:rsid w:val="0070389A"/>
    <w:rsid w:val="007059FF"/>
    <w:rsid w:val="00706476"/>
    <w:rsid w:val="00717143"/>
    <w:rsid w:val="0072014F"/>
    <w:rsid w:val="00720FBC"/>
    <w:rsid w:val="00722584"/>
    <w:rsid w:val="00725D07"/>
    <w:rsid w:val="00725D3B"/>
    <w:rsid w:val="00726E5C"/>
    <w:rsid w:val="007325EE"/>
    <w:rsid w:val="00733C6C"/>
    <w:rsid w:val="007413FA"/>
    <w:rsid w:val="0074391B"/>
    <w:rsid w:val="00743E10"/>
    <w:rsid w:val="00747F31"/>
    <w:rsid w:val="00752052"/>
    <w:rsid w:val="007655E8"/>
    <w:rsid w:val="00777064"/>
    <w:rsid w:val="00782458"/>
    <w:rsid w:val="0078703D"/>
    <w:rsid w:val="007913FB"/>
    <w:rsid w:val="00792261"/>
    <w:rsid w:val="007A1D23"/>
    <w:rsid w:val="007A3334"/>
    <w:rsid w:val="007A769B"/>
    <w:rsid w:val="007B2034"/>
    <w:rsid w:val="007B48FE"/>
    <w:rsid w:val="007C124A"/>
    <w:rsid w:val="007C2D27"/>
    <w:rsid w:val="007D1E66"/>
    <w:rsid w:val="007D2559"/>
    <w:rsid w:val="007D2681"/>
    <w:rsid w:val="007E1E57"/>
    <w:rsid w:val="007E2744"/>
    <w:rsid w:val="007E3175"/>
    <w:rsid w:val="007E361B"/>
    <w:rsid w:val="007E53F5"/>
    <w:rsid w:val="007F1179"/>
    <w:rsid w:val="007F3401"/>
    <w:rsid w:val="007F5AAA"/>
    <w:rsid w:val="007F6608"/>
    <w:rsid w:val="00801791"/>
    <w:rsid w:val="008043E3"/>
    <w:rsid w:val="00810E93"/>
    <w:rsid w:val="00811316"/>
    <w:rsid w:val="00815184"/>
    <w:rsid w:val="00816249"/>
    <w:rsid w:val="00820740"/>
    <w:rsid w:val="008235FB"/>
    <w:rsid w:val="008325E1"/>
    <w:rsid w:val="0083793A"/>
    <w:rsid w:val="00845212"/>
    <w:rsid w:val="00847D43"/>
    <w:rsid w:val="008526DD"/>
    <w:rsid w:val="00852EAF"/>
    <w:rsid w:val="0085386D"/>
    <w:rsid w:val="008571B2"/>
    <w:rsid w:val="00857C64"/>
    <w:rsid w:val="0087108F"/>
    <w:rsid w:val="008758BA"/>
    <w:rsid w:val="00877B47"/>
    <w:rsid w:val="0088068A"/>
    <w:rsid w:val="00880786"/>
    <w:rsid w:val="008851FD"/>
    <w:rsid w:val="00891DF8"/>
    <w:rsid w:val="00896031"/>
    <w:rsid w:val="008A4257"/>
    <w:rsid w:val="008A54A9"/>
    <w:rsid w:val="008B02D1"/>
    <w:rsid w:val="008B0904"/>
    <w:rsid w:val="008B113C"/>
    <w:rsid w:val="008B3569"/>
    <w:rsid w:val="008B3CD5"/>
    <w:rsid w:val="008B6D0C"/>
    <w:rsid w:val="008D70E6"/>
    <w:rsid w:val="008E28F7"/>
    <w:rsid w:val="008F4836"/>
    <w:rsid w:val="008F4FAC"/>
    <w:rsid w:val="008F54C6"/>
    <w:rsid w:val="008F7D1C"/>
    <w:rsid w:val="008F7FAD"/>
    <w:rsid w:val="00901DE2"/>
    <w:rsid w:val="00911D6E"/>
    <w:rsid w:val="0091649C"/>
    <w:rsid w:val="009167DA"/>
    <w:rsid w:val="00916D9B"/>
    <w:rsid w:val="00916E28"/>
    <w:rsid w:val="00922656"/>
    <w:rsid w:val="009253A4"/>
    <w:rsid w:val="00932B3F"/>
    <w:rsid w:val="00933336"/>
    <w:rsid w:val="00933CAC"/>
    <w:rsid w:val="009406DF"/>
    <w:rsid w:val="0094292C"/>
    <w:rsid w:val="00944E23"/>
    <w:rsid w:val="00951FDE"/>
    <w:rsid w:val="00953976"/>
    <w:rsid w:val="00957930"/>
    <w:rsid w:val="00961B6F"/>
    <w:rsid w:val="009672B7"/>
    <w:rsid w:val="009701CB"/>
    <w:rsid w:val="00971F2F"/>
    <w:rsid w:val="00972AA9"/>
    <w:rsid w:val="009734F0"/>
    <w:rsid w:val="00973CB3"/>
    <w:rsid w:val="00982A34"/>
    <w:rsid w:val="00983AFF"/>
    <w:rsid w:val="009846A8"/>
    <w:rsid w:val="00985FB3"/>
    <w:rsid w:val="00994C77"/>
    <w:rsid w:val="0099611A"/>
    <w:rsid w:val="00997732"/>
    <w:rsid w:val="009A0D32"/>
    <w:rsid w:val="009A51D4"/>
    <w:rsid w:val="009B3045"/>
    <w:rsid w:val="009C11AA"/>
    <w:rsid w:val="009C4517"/>
    <w:rsid w:val="009C520E"/>
    <w:rsid w:val="009C6DD2"/>
    <w:rsid w:val="009C6EED"/>
    <w:rsid w:val="009C786B"/>
    <w:rsid w:val="009D1A27"/>
    <w:rsid w:val="009D3D52"/>
    <w:rsid w:val="009D5E41"/>
    <w:rsid w:val="009E1B97"/>
    <w:rsid w:val="009E1D61"/>
    <w:rsid w:val="009E5487"/>
    <w:rsid w:val="009F251C"/>
    <w:rsid w:val="009F2985"/>
    <w:rsid w:val="009F2CD1"/>
    <w:rsid w:val="009F3260"/>
    <w:rsid w:val="009F3652"/>
    <w:rsid w:val="00A03F35"/>
    <w:rsid w:val="00A04AA9"/>
    <w:rsid w:val="00A07004"/>
    <w:rsid w:val="00A078D4"/>
    <w:rsid w:val="00A116CD"/>
    <w:rsid w:val="00A12986"/>
    <w:rsid w:val="00A143C2"/>
    <w:rsid w:val="00A2380C"/>
    <w:rsid w:val="00A25605"/>
    <w:rsid w:val="00A25E95"/>
    <w:rsid w:val="00A30CE6"/>
    <w:rsid w:val="00A33F3D"/>
    <w:rsid w:val="00A47E2B"/>
    <w:rsid w:val="00A523A6"/>
    <w:rsid w:val="00A52890"/>
    <w:rsid w:val="00A57214"/>
    <w:rsid w:val="00A642B2"/>
    <w:rsid w:val="00A64E89"/>
    <w:rsid w:val="00A65173"/>
    <w:rsid w:val="00A7565D"/>
    <w:rsid w:val="00A77D40"/>
    <w:rsid w:val="00A8602D"/>
    <w:rsid w:val="00A90892"/>
    <w:rsid w:val="00A91713"/>
    <w:rsid w:val="00A94B78"/>
    <w:rsid w:val="00AA151C"/>
    <w:rsid w:val="00AA34EE"/>
    <w:rsid w:val="00AA38EE"/>
    <w:rsid w:val="00AA516D"/>
    <w:rsid w:val="00AA7CE5"/>
    <w:rsid w:val="00AB2ADA"/>
    <w:rsid w:val="00AB48FE"/>
    <w:rsid w:val="00AB7444"/>
    <w:rsid w:val="00AC3E32"/>
    <w:rsid w:val="00AC793F"/>
    <w:rsid w:val="00AD14A6"/>
    <w:rsid w:val="00AD4488"/>
    <w:rsid w:val="00AD4CC9"/>
    <w:rsid w:val="00AD6A27"/>
    <w:rsid w:val="00AD7545"/>
    <w:rsid w:val="00AE0CB5"/>
    <w:rsid w:val="00AE0DAE"/>
    <w:rsid w:val="00AE16BE"/>
    <w:rsid w:val="00AE3198"/>
    <w:rsid w:val="00AE48D4"/>
    <w:rsid w:val="00AF0D01"/>
    <w:rsid w:val="00B00653"/>
    <w:rsid w:val="00B02478"/>
    <w:rsid w:val="00B031DF"/>
    <w:rsid w:val="00B04CDC"/>
    <w:rsid w:val="00B10327"/>
    <w:rsid w:val="00B10D5A"/>
    <w:rsid w:val="00B11FFB"/>
    <w:rsid w:val="00B1242B"/>
    <w:rsid w:val="00B12F30"/>
    <w:rsid w:val="00B15045"/>
    <w:rsid w:val="00B15594"/>
    <w:rsid w:val="00B2285A"/>
    <w:rsid w:val="00B2420B"/>
    <w:rsid w:val="00B24226"/>
    <w:rsid w:val="00B244B7"/>
    <w:rsid w:val="00B24C2D"/>
    <w:rsid w:val="00B26892"/>
    <w:rsid w:val="00B3296A"/>
    <w:rsid w:val="00B33A2B"/>
    <w:rsid w:val="00B40766"/>
    <w:rsid w:val="00B42A20"/>
    <w:rsid w:val="00B43038"/>
    <w:rsid w:val="00B439D7"/>
    <w:rsid w:val="00B47470"/>
    <w:rsid w:val="00B476C5"/>
    <w:rsid w:val="00B535D0"/>
    <w:rsid w:val="00B55485"/>
    <w:rsid w:val="00B55CD7"/>
    <w:rsid w:val="00B57573"/>
    <w:rsid w:val="00B633A0"/>
    <w:rsid w:val="00B6398E"/>
    <w:rsid w:val="00B715DB"/>
    <w:rsid w:val="00B739A7"/>
    <w:rsid w:val="00B77DFE"/>
    <w:rsid w:val="00B83961"/>
    <w:rsid w:val="00B8511D"/>
    <w:rsid w:val="00B916E2"/>
    <w:rsid w:val="00BA1C56"/>
    <w:rsid w:val="00BA6A9A"/>
    <w:rsid w:val="00BA6C58"/>
    <w:rsid w:val="00BB0750"/>
    <w:rsid w:val="00BB0D96"/>
    <w:rsid w:val="00BB1778"/>
    <w:rsid w:val="00BC11BA"/>
    <w:rsid w:val="00BC1C6F"/>
    <w:rsid w:val="00BD3273"/>
    <w:rsid w:val="00BD65EF"/>
    <w:rsid w:val="00BD7422"/>
    <w:rsid w:val="00BE3334"/>
    <w:rsid w:val="00BE4FF5"/>
    <w:rsid w:val="00BE50D4"/>
    <w:rsid w:val="00BE537E"/>
    <w:rsid w:val="00BE6D28"/>
    <w:rsid w:val="00BF5144"/>
    <w:rsid w:val="00BF5779"/>
    <w:rsid w:val="00C00634"/>
    <w:rsid w:val="00C04591"/>
    <w:rsid w:val="00C04862"/>
    <w:rsid w:val="00C1192E"/>
    <w:rsid w:val="00C20D7F"/>
    <w:rsid w:val="00C2323E"/>
    <w:rsid w:val="00C353BE"/>
    <w:rsid w:val="00C36C56"/>
    <w:rsid w:val="00C43FA8"/>
    <w:rsid w:val="00C45176"/>
    <w:rsid w:val="00C460EF"/>
    <w:rsid w:val="00C603A9"/>
    <w:rsid w:val="00C61118"/>
    <w:rsid w:val="00C617BC"/>
    <w:rsid w:val="00C6447F"/>
    <w:rsid w:val="00C66555"/>
    <w:rsid w:val="00C66D05"/>
    <w:rsid w:val="00C741AE"/>
    <w:rsid w:val="00C75F1E"/>
    <w:rsid w:val="00C806E7"/>
    <w:rsid w:val="00C81B01"/>
    <w:rsid w:val="00C85522"/>
    <w:rsid w:val="00C9268D"/>
    <w:rsid w:val="00C92C55"/>
    <w:rsid w:val="00C92CF5"/>
    <w:rsid w:val="00C93368"/>
    <w:rsid w:val="00CB29F6"/>
    <w:rsid w:val="00CB2EDD"/>
    <w:rsid w:val="00CB322B"/>
    <w:rsid w:val="00CB564A"/>
    <w:rsid w:val="00CC226E"/>
    <w:rsid w:val="00CC4BF8"/>
    <w:rsid w:val="00CC6D9C"/>
    <w:rsid w:val="00CD05BE"/>
    <w:rsid w:val="00CD145F"/>
    <w:rsid w:val="00CD198C"/>
    <w:rsid w:val="00CD31B8"/>
    <w:rsid w:val="00CD777E"/>
    <w:rsid w:val="00CE06E0"/>
    <w:rsid w:val="00CE62C7"/>
    <w:rsid w:val="00CF3662"/>
    <w:rsid w:val="00CF4807"/>
    <w:rsid w:val="00D00587"/>
    <w:rsid w:val="00D013D9"/>
    <w:rsid w:val="00D070E2"/>
    <w:rsid w:val="00D202FB"/>
    <w:rsid w:val="00D20799"/>
    <w:rsid w:val="00D236F1"/>
    <w:rsid w:val="00D2378A"/>
    <w:rsid w:val="00D237DA"/>
    <w:rsid w:val="00D23942"/>
    <w:rsid w:val="00D30BD4"/>
    <w:rsid w:val="00D3146B"/>
    <w:rsid w:val="00D31AA4"/>
    <w:rsid w:val="00D31DE7"/>
    <w:rsid w:val="00D32F7C"/>
    <w:rsid w:val="00D3566E"/>
    <w:rsid w:val="00D36F62"/>
    <w:rsid w:val="00D41F5F"/>
    <w:rsid w:val="00D520D0"/>
    <w:rsid w:val="00D60F55"/>
    <w:rsid w:val="00D63CDC"/>
    <w:rsid w:val="00D73A99"/>
    <w:rsid w:val="00D80913"/>
    <w:rsid w:val="00D819F3"/>
    <w:rsid w:val="00D90554"/>
    <w:rsid w:val="00DA6605"/>
    <w:rsid w:val="00DB0C96"/>
    <w:rsid w:val="00DC35ED"/>
    <w:rsid w:val="00DC48A1"/>
    <w:rsid w:val="00DC5310"/>
    <w:rsid w:val="00DD3A02"/>
    <w:rsid w:val="00DD4D55"/>
    <w:rsid w:val="00DE5149"/>
    <w:rsid w:val="00DE5BBC"/>
    <w:rsid w:val="00DE6FAE"/>
    <w:rsid w:val="00DE7B7E"/>
    <w:rsid w:val="00DF1846"/>
    <w:rsid w:val="00DF4760"/>
    <w:rsid w:val="00DF6308"/>
    <w:rsid w:val="00E026CE"/>
    <w:rsid w:val="00E048B1"/>
    <w:rsid w:val="00E0671C"/>
    <w:rsid w:val="00E1057E"/>
    <w:rsid w:val="00E11A11"/>
    <w:rsid w:val="00E13A41"/>
    <w:rsid w:val="00E14DAA"/>
    <w:rsid w:val="00E16C1F"/>
    <w:rsid w:val="00E24090"/>
    <w:rsid w:val="00E2628D"/>
    <w:rsid w:val="00E267A3"/>
    <w:rsid w:val="00E32DF2"/>
    <w:rsid w:val="00E3676A"/>
    <w:rsid w:val="00E40AB6"/>
    <w:rsid w:val="00E424CF"/>
    <w:rsid w:val="00E45C59"/>
    <w:rsid w:val="00E467A7"/>
    <w:rsid w:val="00E46DF8"/>
    <w:rsid w:val="00E47BDD"/>
    <w:rsid w:val="00E54639"/>
    <w:rsid w:val="00E55C23"/>
    <w:rsid w:val="00E60A37"/>
    <w:rsid w:val="00E63D98"/>
    <w:rsid w:val="00E70783"/>
    <w:rsid w:val="00E71CD7"/>
    <w:rsid w:val="00E72254"/>
    <w:rsid w:val="00E75745"/>
    <w:rsid w:val="00E77164"/>
    <w:rsid w:val="00E7745C"/>
    <w:rsid w:val="00E81E56"/>
    <w:rsid w:val="00E83864"/>
    <w:rsid w:val="00E848DC"/>
    <w:rsid w:val="00E86CE7"/>
    <w:rsid w:val="00E909A0"/>
    <w:rsid w:val="00E9112A"/>
    <w:rsid w:val="00E911FB"/>
    <w:rsid w:val="00E9572E"/>
    <w:rsid w:val="00E96835"/>
    <w:rsid w:val="00EA04F5"/>
    <w:rsid w:val="00EA1CDB"/>
    <w:rsid w:val="00EA237C"/>
    <w:rsid w:val="00EA4057"/>
    <w:rsid w:val="00EB096D"/>
    <w:rsid w:val="00EB121C"/>
    <w:rsid w:val="00EB1251"/>
    <w:rsid w:val="00EB157B"/>
    <w:rsid w:val="00EB427A"/>
    <w:rsid w:val="00EB4C09"/>
    <w:rsid w:val="00EC1C37"/>
    <w:rsid w:val="00EC6592"/>
    <w:rsid w:val="00ED1EFA"/>
    <w:rsid w:val="00ED79F8"/>
    <w:rsid w:val="00EE2544"/>
    <w:rsid w:val="00EE3C9F"/>
    <w:rsid w:val="00EE3FE2"/>
    <w:rsid w:val="00EE7795"/>
    <w:rsid w:val="00EF0603"/>
    <w:rsid w:val="00EF106B"/>
    <w:rsid w:val="00EF5CFD"/>
    <w:rsid w:val="00EF6389"/>
    <w:rsid w:val="00EF7487"/>
    <w:rsid w:val="00F003CB"/>
    <w:rsid w:val="00F00A1F"/>
    <w:rsid w:val="00F06A58"/>
    <w:rsid w:val="00F076A2"/>
    <w:rsid w:val="00F13B69"/>
    <w:rsid w:val="00F15323"/>
    <w:rsid w:val="00F15515"/>
    <w:rsid w:val="00F230AD"/>
    <w:rsid w:val="00F35A59"/>
    <w:rsid w:val="00F37C5A"/>
    <w:rsid w:val="00F51EA7"/>
    <w:rsid w:val="00F62107"/>
    <w:rsid w:val="00F62C02"/>
    <w:rsid w:val="00F64432"/>
    <w:rsid w:val="00F70057"/>
    <w:rsid w:val="00F75119"/>
    <w:rsid w:val="00F751F8"/>
    <w:rsid w:val="00F7607B"/>
    <w:rsid w:val="00F762C8"/>
    <w:rsid w:val="00F80373"/>
    <w:rsid w:val="00F8088A"/>
    <w:rsid w:val="00F84A32"/>
    <w:rsid w:val="00F86EB0"/>
    <w:rsid w:val="00F91174"/>
    <w:rsid w:val="00F92CE0"/>
    <w:rsid w:val="00F9404F"/>
    <w:rsid w:val="00F968BD"/>
    <w:rsid w:val="00F97E53"/>
    <w:rsid w:val="00FA0D16"/>
    <w:rsid w:val="00FA310B"/>
    <w:rsid w:val="00FA385F"/>
    <w:rsid w:val="00FB0ABC"/>
    <w:rsid w:val="00FB7087"/>
    <w:rsid w:val="00FB7838"/>
    <w:rsid w:val="00FC3E83"/>
    <w:rsid w:val="00FC3FC1"/>
    <w:rsid w:val="00FC4258"/>
    <w:rsid w:val="00FC6E35"/>
    <w:rsid w:val="00FD5D00"/>
    <w:rsid w:val="00FD739E"/>
    <w:rsid w:val="00FE21C3"/>
    <w:rsid w:val="00FE2780"/>
    <w:rsid w:val="00FE2948"/>
    <w:rsid w:val="00FE3F03"/>
    <w:rsid w:val="00FE7E2C"/>
    <w:rsid w:val="00FE7E3A"/>
    <w:rsid w:val="00FF0F1C"/>
    <w:rsid w:val="00FF32BF"/>
    <w:rsid w:val="00FF429D"/>
    <w:rsid w:val="00FF7089"/>
    <w:rsid w:val="00FF7E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94E0E2"/>
  <w15:docId w15:val="{BE36F28D-6904-4DF1-A58E-4876E547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link w:val="BodyText3Char"/>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link w:val="BodyText2Char"/>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uiPriority w:val="59"/>
    <w:rsid w:val="00B535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 w:type="character" w:customStyle="1" w:styleId="hps">
    <w:name w:val="hps"/>
    <w:basedOn w:val="DefaultParagraphFont"/>
    <w:rsid w:val="00AA7CE5"/>
  </w:style>
  <w:style w:type="paragraph" w:styleId="NormalWeb">
    <w:name w:val="Normal (Web)"/>
    <w:basedOn w:val="Normal"/>
    <w:semiHidden/>
    <w:rsid w:val="00A116CD"/>
    <w:pPr>
      <w:spacing w:before="100" w:beforeAutospacing="1" w:after="100" w:afterAutospacing="1"/>
    </w:pPr>
    <w:rPr>
      <w:rFonts w:cs="Times New Roman"/>
      <w:color w:val="333300"/>
      <w:sz w:val="24"/>
      <w:szCs w:val="24"/>
    </w:rPr>
  </w:style>
  <w:style w:type="character" w:customStyle="1" w:styleId="BodyText3Char">
    <w:name w:val="Body Text 3 Char"/>
    <w:basedOn w:val="DefaultParagraphFont"/>
    <w:link w:val="BodyText3"/>
    <w:semiHidden/>
    <w:rsid w:val="008B6D0C"/>
    <w:rPr>
      <w:rFonts w:cs="Traditional Arabic"/>
    </w:rPr>
  </w:style>
  <w:style w:type="character" w:customStyle="1" w:styleId="BodyText2Char">
    <w:name w:val="Body Text 2 Char"/>
    <w:basedOn w:val="DefaultParagraphFont"/>
    <w:link w:val="BodyText2"/>
    <w:semiHidden/>
    <w:rsid w:val="00BA1C56"/>
    <w:rPr>
      <w:rFonts w:cs="Traditional Arab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400753735">
      <w:bodyDiv w:val="1"/>
      <w:marLeft w:val="0"/>
      <w:marRight w:val="0"/>
      <w:marTop w:val="0"/>
      <w:marBottom w:val="0"/>
      <w:divBdr>
        <w:top w:val="none" w:sz="0" w:space="0" w:color="auto"/>
        <w:left w:val="none" w:sz="0" w:space="0" w:color="auto"/>
        <w:bottom w:val="none" w:sz="0" w:space="0" w:color="auto"/>
        <w:right w:val="none" w:sz="0" w:space="0" w:color="auto"/>
      </w:divBdr>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638532244">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 w:id="789982005">
      <w:bodyDiv w:val="1"/>
      <w:marLeft w:val="0"/>
      <w:marRight w:val="0"/>
      <w:marTop w:val="0"/>
      <w:marBottom w:val="0"/>
      <w:divBdr>
        <w:top w:val="none" w:sz="0" w:space="0" w:color="auto"/>
        <w:left w:val="none" w:sz="0" w:space="0" w:color="auto"/>
        <w:bottom w:val="none" w:sz="0" w:space="0" w:color="auto"/>
        <w:right w:val="none" w:sz="0" w:space="0" w:color="auto"/>
      </w:divBdr>
    </w:div>
    <w:div w:id="1063985084">
      <w:bodyDiv w:val="1"/>
      <w:marLeft w:val="0"/>
      <w:marRight w:val="0"/>
      <w:marTop w:val="0"/>
      <w:marBottom w:val="0"/>
      <w:divBdr>
        <w:top w:val="none" w:sz="0" w:space="0" w:color="auto"/>
        <w:left w:val="none" w:sz="0" w:space="0" w:color="auto"/>
        <w:bottom w:val="none" w:sz="0" w:space="0" w:color="auto"/>
        <w:right w:val="none" w:sz="0" w:space="0" w:color="auto"/>
      </w:divBdr>
    </w:div>
    <w:div w:id="1414934285">
      <w:bodyDiv w:val="1"/>
      <w:marLeft w:val="0"/>
      <w:marRight w:val="0"/>
      <w:marTop w:val="0"/>
      <w:marBottom w:val="0"/>
      <w:divBdr>
        <w:top w:val="none" w:sz="0" w:space="0" w:color="auto"/>
        <w:left w:val="none" w:sz="0" w:space="0" w:color="auto"/>
        <w:bottom w:val="none" w:sz="0" w:space="0" w:color="auto"/>
        <w:right w:val="none" w:sz="0" w:space="0" w:color="auto"/>
      </w:divBdr>
    </w:div>
    <w:div w:id="1751384220">
      <w:bodyDiv w:val="1"/>
      <w:marLeft w:val="0"/>
      <w:marRight w:val="0"/>
      <w:marTop w:val="0"/>
      <w:marBottom w:val="0"/>
      <w:divBdr>
        <w:top w:val="none" w:sz="0" w:space="0" w:color="auto"/>
        <w:left w:val="none" w:sz="0" w:space="0" w:color="auto"/>
        <w:bottom w:val="none" w:sz="0" w:space="0" w:color="auto"/>
        <w:right w:val="none" w:sz="0" w:space="0" w:color="auto"/>
      </w:divBdr>
    </w:div>
    <w:div w:id="184362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46474.CF8F83A0"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689941482829748"/>
          <c:y val="5.5673251812070834E-2"/>
          <c:w val="0.70491575039606535"/>
          <c:h val="0.77144476272912965"/>
        </c:manualLayout>
      </c:layout>
      <c:barChart>
        <c:barDir val="bar"/>
        <c:grouping val="clustered"/>
        <c:varyColors val="0"/>
        <c:ser>
          <c:idx val="0"/>
          <c:order val="0"/>
          <c:tx>
            <c:strRef>
              <c:f>Sheet1!$A$2</c:f>
              <c:strCache>
                <c:ptCount val="1"/>
                <c:pt idx="0">
                  <c:v>Formal Settlements</c:v>
                </c:pt>
              </c:strCache>
            </c:strRef>
          </c:tx>
          <c:spPr>
            <a:solidFill>
              <a:srgbClr val="9999FF"/>
            </a:solidFill>
            <a:ln w="12668">
              <a:solidFill>
                <a:srgbClr val="000000"/>
              </a:solidFill>
              <a:prstDash val="solid"/>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 &amp; Northern Valleys</c:v>
                </c:pt>
                <c:pt idx="9">
                  <c:v>Jenin</c:v>
                </c:pt>
                <c:pt idx="10">
                  <c:v>Tulkarm</c:v>
                </c:pt>
              </c:strCache>
            </c:strRef>
          </c:cat>
          <c:val>
            <c:numRef>
              <c:f>Sheet1!$B$2:$L$2</c:f>
              <c:numCache>
                <c:formatCode>General</c:formatCode>
                <c:ptCount val="11"/>
                <c:pt idx="0">
                  <c:v>26</c:v>
                </c:pt>
                <c:pt idx="1">
                  <c:v>26</c:v>
                </c:pt>
                <c:pt idx="2">
                  <c:v>20</c:v>
                </c:pt>
                <c:pt idx="3">
                  <c:v>17</c:v>
                </c:pt>
                <c:pt idx="4">
                  <c:v>13</c:v>
                </c:pt>
                <c:pt idx="5">
                  <c:v>13</c:v>
                </c:pt>
                <c:pt idx="6">
                  <c:v>13</c:v>
                </c:pt>
                <c:pt idx="7">
                  <c:v>8</c:v>
                </c:pt>
                <c:pt idx="8">
                  <c:v>7</c:v>
                </c:pt>
                <c:pt idx="9">
                  <c:v>5</c:v>
                </c:pt>
                <c:pt idx="10">
                  <c:v>3</c:v>
                </c:pt>
              </c:numCache>
            </c:numRef>
          </c:val>
          <c:extLst>
            <c:ext xmlns:c16="http://schemas.microsoft.com/office/drawing/2014/chart" uri="{C3380CC4-5D6E-409C-BE32-E72D297353CC}">
              <c16:uniqueId val="{00000000-541A-4D92-9EDA-48004F86225D}"/>
            </c:ext>
          </c:extLst>
        </c:ser>
        <c:dLbls>
          <c:showLegendKey val="0"/>
          <c:showVal val="0"/>
          <c:showCatName val="0"/>
          <c:showSerName val="0"/>
          <c:showPercent val="0"/>
          <c:showBubbleSize val="0"/>
        </c:dLbls>
        <c:gapWidth val="150"/>
        <c:axId val="45516288"/>
        <c:axId val="45518208"/>
      </c:barChart>
      <c:catAx>
        <c:axId val="45516288"/>
        <c:scaling>
          <c:orientation val="minMax"/>
        </c:scaling>
        <c:delete val="0"/>
        <c:axPos val="l"/>
        <c:title>
          <c:tx>
            <c:rich>
              <a:bodyPr rot="-5400000" vert="horz"/>
              <a:lstStyle/>
              <a:p>
                <a:pPr>
                  <a:defRPr b="1"/>
                </a:pPr>
                <a:r>
                  <a:rPr lang="en-US" b="1"/>
                  <a:t>Governorate</a:t>
                </a:r>
              </a:p>
            </c:rich>
          </c:tx>
          <c:layout>
            <c:manualLayout>
              <c:xMode val="edge"/>
              <c:yMode val="edge"/>
              <c:x val="9.6389302688515231E-3"/>
              <c:y val="0.30694688618470573"/>
            </c:manualLayout>
          </c:layout>
          <c:overlay val="0"/>
        </c:title>
        <c:numFmt formatCode="General" sourceLinked="1"/>
        <c:majorTickMark val="out"/>
        <c:minorTickMark val="none"/>
        <c:tickLblPos val="nextTo"/>
        <c:spPr>
          <a:ln w="316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45518208"/>
        <c:crosses val="autoZero"/>
        <c:auto val="1"/>
        <c:lblAlgn val="ctr"/>
        <c:lblOffset val="0"/>
        <c:tickMarkSkip val="1"/>
        <c:noMultiLvlLbl val="0"/>
      </c:catAx>
      <c:valAx>
        <c:axId val="45518208"/>
        <c:scaling>
          <c:orientation val="minMax"/>
          <c:max val="30"/>
          <c:min val="0"/>
        </c:scaling>
        <c:delete val="0"/>
        <c:axPos val="b"/>
        <c:title>
          <c:tx>
            <c:rich>
              <a:bodyPr/>
              <a:lstStyle/>
              <a:p>
                <a:pPr>
                  <a:defRPr b="1"/>
                </a:pPr>
                <a:r>
                  <a:rPr lang="en-US" b="1"/>
                  <a:t>Number of </a:t>
                </a:r>
                <a:r>
                  <a:rPr lang="en-US" sz="899" b="1" i="0" u="none" strike="noStrike" baseline="0">
                    <a:effectLst/>
                  </a:rPr>
                  <a:t>Settlements </a:t>
                </a:r>
                <a:endParaRPr lang="en-US" b="1"/>
              </a:p>
            </c:rich>
          </c:tx>
          <c:layout>
            <c:manualLayout>
              <c:xMode val="edge"/>
              <c:yMode val="edge"/>
              <c:x val="0.45435339101130878"/>
              <c:y val="0.91687444523979955"/>
            </c:manualLayout>
          </c:layout>
          <c:overlay val="0"/>
        </c:title>
        <c:numFmt formatCode="General" sourceLinked="1"/>
        <c:majorTickMark val="out"/>
        <c:minorTickMark val="none"/>
        <c:tickLblPos val="nextTo"/>
        <c:txPr>
          <a:bodyPr rot="0" vert="horz"/>
          <a:lstStyle/>
          <a:p>
            <a:pPr>
              <a:defRPr sz="874" b="0" i="0" u="none" strike="noStrike" baseline="0">
                <a:solidFill>
                  <a:srgbClr val="000000"/>
                </a:solidFill>
                <a:latin typeface="Arial"/>
                <a:ea typeface="Arial"/>
                <a:cs typeface="Arial"/>
              </a:defRPr>
            </a:pPr>
            <a:endParaRPr lang="en-US"/>
          </a:p>
        </c:txPr>
        <c:crossAx val="45516288"/>
        <c:crosses val="autoZero"/>
        <c:crossBetween val="between"/>
        <c:majorUnit val="5"/>
        <c:minorUnit val="1"/>
      </c:valAx>
    </c:plotArea>
    <c:plotVisOnly val="1"/>
    <c:dispBlanksAs val="gap"/>
    <c:showDLblsOverMax val="0"/>
  </c:chart>
  <c:spPr>
    <a:noFill/>
    <a:ln>
      <a:noFill/>
    </a:ln>
  </c:spPr>
  <c:txPr>
    <a:bodyPr/>
    <a:lstStyle/>
    <a:p>
      <a:pPr>
        <a:defRPr sz="899"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1126198257080762"/>
          <c:y val="2.2268637472947456E-2"/>
          <c:w val="0.65757897603486193"/>
          <c:h val="0.81457659897772705"/>
        </c:manualLayout>
      </c:layout>
      <c:barChart>
        <c:barDir val="bar"/>
        <c:grouping val="clustered"/>
        <c:varyColors val="0"/>
        <c:ser>
          <c:idx val="0"/>
          <c:order val="0"/>
          <c:spPr>
            <a:solidFill>
              <a:srgbClr val="9999FF"/>
            </a:solidFill>
            <a:ln w="12649">
              <a:solidFill>
                <a:srgbClr val="000000"/>
              </a:solidFill>
              <a:prstDash val="solid"/>
            </a:ln>
          </c:spPr>
          <c:invertIfNegative val="0"/>
          <c:dLbls>
            <c:dLbl>
              <c:idx val="0"/>
              <c:layout>
                <c:manualLayout>
                  <c:x val="1.0001089324618807E-2"/>
                  <c:y val="-9.9740848720440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BFB-4602-B535-50905DE34300}"/>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 &amp; Northern Valleys</c:v>
                </c:pt>
              </c:strCache>
            </c:strRef>
          </c:cat>
          <c:val>
            <c:numRef>
              <c:f>Sheet1!$B$2:$L$2</c:f>
              <c:numCache>
                <c:formatCode>#,##0.0_);"("#,##0.0")";"-"_)</c:formatCode>
                <c:ptCount val="11"/>
                <c:pt idx="0">
                  <c:v>332.3</c:v>
                </c:pt>
                <c:pt idx="1">
                  <c:v>139.4</c:v>
                </c:pt>
                <c:pt idx="2">
                  <c:v>92.2</c:v>
                </c:pt>
                <c:pt idx="3">
                  <c:v>47.9</c:v>
                </c:pt>
                <c:pt idx="4">
                  <c:v>40.4</c:v>
                </c:pt>
                <c:pt idx="5">
                  <c:v>21.5</c:v>
                </c:pt>
                <c:pt idx="6">
                  <c:v>21.2</c:v>
                </c:pt>
                <c:pt idx="7">
                  <c:v>7.5</c:v>
                </c:pt>
                <c:pt idx="8">
                  <c:v>4.4000000000000004</c:v>
                </c:pt>
                <c:pt idx="9">
                  <c:v>3.6</c:v>
                </c:pt>
                <c:pt idx="10">
                  <c:v>2.5</c:v>
                </c:pt>
              </c:numCache>
            </c:numRef>
          </c:val>
          <c:extLst>
            <c:ext xmlns:c16="http://schemas.microsoft.com/office/drawing/2014/chart" uri="{C3380CC4-5D6E-409C-BE32-E72D297353CC}">
              <c16:uniqueId val="{00000001-2BFB-4602-B535-50905DE34300}"/>
            </c:ext>
          </c:extLst>
        </c:ser>
        <c:dLbls>
          <c:showLegendKey val="0"/>
          <c:showVal val="1"/>
          <c:showCatName val="0"/>
          <c:showSerName val="0"/>
          <c:showPercent val="0"/>
          <c:showBubbleSize val="0"/>
        </c:dLbls>
        <c:gapWidth val="150"/>
        <c:axId val="45497344"/>
        <c:axId val="45544576"/>
      </c:barChart>
      <c:catAx>
        <c:axId val="45497344"/>
        <c:scaling>
          <c:orientation val="minMax"/>
        </c:scaling>
        <c:delete val="0"/>
        <c:axPos val="l"/>
        <c:title>
          <c:tx>
            <c:rich>
              <a:bodyPr rot="-5400000" vert="horz"/>
              <a:lstStyle/>
              <a:p>
                <a:pPr algn="ctr" rtl="0">
                  <a:defRPr b="1"/>
                </a:pPr>
                <a:r>
                  <a:rPr lang="en-US" b="1"/>
                  <a:t>Governorate</a:t>
                </a:r>
              </a:p>
              <a:p>
                <a:pPr algn="ctr" rtl="0">
                  <a:defRPr b="1"/>
                </a:pPr>
                <a:endParaRPr lang="en-US" b="1"/>
              </a:p>
            </c:rich>
          </c:tx>
          <c:layout>
            <c:manualLayout>
              <c:xMode val="edge"/>
              <c:yMode val="edge"/>
              <c:x val="4.0336134453784124E-2"/>
              <c:y val="0.34976993616538671"/>
            </c:manualLayout>
          </c:layout>
          <c:overlay val="0"/>
        </c:title>
        <c:numFmt formatCode="General" sourceLinked="1"/>
        <c:majorTickMark val="out"/>
        <c:minorTickMark val="none"/>
        <c:tickLblPos val="nextTo"/>
        <c:spPr>
          <a:ln w="3162">
            <a:solidFill>
              <a:srgbClr val="000000"/>
            </a:solidFill>
            <a:prstDash val="solid"/>
          </a:ln>
        </c:spPr>
        <c:txPr>
          <a:bodyPr rot="0" vert="horz"/>
          <a:lstStyle/>
          <a:p>
            <a:pPr>
              <a:defRPr/>
            </a:pPr>
            <a:endParaRPr lang="en-US"/>
          </a:p>
        </c:txPr>
        <c:crossAx val="45544576"/>
        <c:crossesAt val="0"/>
        <c:auto val="1"/>
        <c:lblAlgn val="ctr"/>
        <c:lblOffset val="100"/>
        <c:tickLblSkip val="1"/>
        <c:tickMarkSkip val="2"/>
        <c:noMultiLvlLbl val="0"/>
      </c:catAx>
      <c:valAx>
        <c:axId val="45544576"/>
        <c:scaling>
          <c:orientation val="minMax"/>
        </c:scaling>
        <c:delete val="0"/>
        <c:axPos val="b"/>
        <c:title>
          <c:tx>
            <c:rich>
              <a:bodyPr/>
              <a:lstStyle/>
              <a:p>
                <a:pPr>
                  <a:defRPr b="1"/>
                </a:pPr>
                <a:r>
                  <a:rPr lang="en-US" b="1"/>
                  <a:t>Number in thousands</a:t>
                </a:r>
              </a:p>
            </c:rich>
          </c:tx>
          <c:layout>
            <c:manualLayout>
              <c:xMode val="edge"/>
              <c:yMode val="edge"/>
              <c:x val="0.38586200946336363"/>
              <c:y val="0.93324087120690002"/>
            </c:manualLayout>
          </c:layout>
          <c:overlay val="0"/>
        </c:title>
        <c:numFmt formatCode="#,##0" sourceLinked="0"/>
        <c:majorTickMark val="out"/>
        <c:minorTickMark val="none"/>
        <c:tickLblPos val="nextTo"/>
        <c:spPr>
          <a:ln w="3162">
            <a:solidFill>
              <a:srgbClr val="000000"/>
            </a:solidFill>
            <a:prstDash val="solid"/>
          </a:ln>
        </c:spPr>
        <c:txPr>
          <a:bodyPr rot="0" vert="horz"/>
          <a:lstStyle/>
          <a:p>
            <a:pPr>
              <a:defRPr/>
            </a:pPr>
            <a:endParaRPr lang="en-US"/>
          </a:p>
        </c:txPr>
        <c:crossAx val="45497344"/>
        <c:crosses val="autoZero"/>
        <c:crossBetween val="between"/>
      </c:valAx>
      <c:spPr>
        <a:solidFill>
          <a:srgbClr val="FFFFFF"/>
        </a:solidFill>
        <a:ln w="252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Sheet1!$A$1</c:f>
              <c:strCache>
                <c:ptCount val="1"/>
                <c:pt idx="0">
                  <c:v>Year</c:v>
                </c:pt>
              </c:strCache>
            </c:strRef>
          </c:tx>
          <c:invertIfNegative val="0"/>
          <c:dLbls>
            <c:delete val="1"/>
          </c:dLbls>
          <c:cat>
            <c:numRef>
              <c:f>Sheet1!$B$1:$L$1</c:f>
              <c:numCache>
                <c:formatCode>General</c:formatCode>
                <c:ptCount val="11"/>
                <c:pt idx="0">
                  <c:v>1990</c:v>
                </c:pt>
                <c:pt idx="1">
                  <c:v>1995</c:v>
                </c:pt>
                <c:pt idx="2">
                  <c:v>2000</c:v>
                </c:pt>
                <c:pt idx="3">
                  <c:v>2005</c:v>
                </c:pt>
                <c:pt idx="4">
                  <c:v>2010</c:v>
                </c:pt>
                <c:pt idx="5">
                  <c:v>2015</c:v>
                </c:pt>
                <c:pt idx="6">
                  <c:v>2016</c:v>
                </c:pt>
                <c:pt idx="7">
                  <c:v>2017</c:v>
                </c:pt>
                <c:pt idx="8">
                  <c:v>2018</c:v>
                </c:pt>
                <c:pt idx="9">
                  <c:v>2019</c:v>
                </c:pt>
                <c:pt idx="10">
                  <c:v>2020</c:v>
                </c:pt>
              </c:numCache>
            </c:numRef>
          </c:cat>
          <c:val>
            <c:numRef>
              <c:f>Sheet1!$B$1:$L$1</c:f>
              <c:numCache>
                <c:formatCode>General</c:formatCode>
                <c:ptCount val="11"/>
                <c:pt idx="0">
                  <c:v>1990</c:v>
                </c:pt>
                <c:pt idx="1">
                  <c:v>1995</c:v>
                </c:pt>
                <c:pt idx="2">
                  <c:v>2000</c:v>
                </c:pt>
                <c:pt idx="3">
                  <c:v>2005</c:v>
                </c:pt>
                <c:pt idx="4">
                  <c:v>2010</c:v>
                </c:pt>
                <c:pt idx="5">
                  <c:v>2015</c:v>
                </c:pt>
                <c:pt idx="6">
                  <c:v>2016</c:v>
                </c:pt>
                <c:pt idx="7">
                  <c:v>2017</c:v>
                </c:pt>
                <c:pt idx="8">
                  <c:v>2018</c:v>
                </c:pt>
                <c:pt idx="9">
                  <c:v>2019</c:v>
                </c:pt>
                <c:pt idx="10">
                  <c:v>2020</c:v>
                </c:pt>
              </c:numCache>
            </c:numRef>
          </c:val>
          <c:extLst>
            <c:ext xmlns:c16="http://schemas.microsoft.com/office/drawing/2014/chart" uri="{C3380CC4-5D6E-409C-BE32-E72D297353CC}">
              <c16:uniqueId val="{00000000-BFF3-4567-A339-89983AAE5305}"/>
            </c:ext>
          </c:extLst>
        </c:ser>
        <c:ser>
          <c:idx val="1"/>
          <c:order val="1"/>
          <c:tx>
            <c:strRef>
              <c:f>Sheet1!$A$2</c:f>
              <c:strCache>
                <c:ptCount val="1"/>
                <c:pt idx="0">
                  <c:v>Number (Thousands)</c:v>
                </c:pt>
              </c:strCache>
            </c:strRef>
          </c:tx>
          <c:spPr>
            <a:solidFill>
              <a:srgbClr val="0070C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Sheet1!$B$1:$L$1</c:f>
              <c:numCache>
                <c:formatCode>General</c:formatCode>
                <c:ptCount val="11"/>
                <c:pt idx="0">
                  <c:v>1990</c:v>
                </c:pt>
                <c:pt idx="1">
                  <c:v>1995</c:v>
                </c:pt>
                <c:pt idx="2">
                  <c:v>2000</c:v>
                </c:pt>
                <c:pt idx="3">
                  <c:v>2005</c:v>
                </c:pt>
                <c:pt idx="4">
                  <c:v>2010</c:v>
                </c:pt>
                <c:pt idx="5">
                  <c:v>2015</c:v>
                </c:pt>
                <c:pt idx="6">
                  <c:v>2016</c:v>
                </c:pt>
                <c:pt idx="7">
                  <c:v>2017</c:v>
                </c:pt>
                <c:pt idx="8">
                  <c:v>2018</c:v>
                </c:pt>
                <c:pt idx="9">
                  <c:v>2019</c:v>
                </c:pt>
                <c:pt idx="10">
                  <c:v>2020</c:v>
                </c:pt>
              </c:numCache>
            </c:numRef>
          </c:cat>
          <c:val>
            <c:numRef>
              <c:f>Sheet1!$B$2:$L$2</c:f>
              <c:numCache>
                <c:formatCode>_-* #,##0_-;_-* #,##0\-;_-* "-"??_-;_-@_-</c:formatCode>
                <c:ptCount val="11"/>
                <c:pt idx="0">
                  <c:v>221348</c:v>
                </c:pt>
                <c:pt idx="1">
                  <c:v>296959</c:v>
                </c:pt>
                <c:pt idx="2">
                  <c:v>379099</c:v>
                </c:pt>
                <c:pt idx="3">
                  <c:v>452622</c:v>
                </c:pt>
                <c:pt idx="4">
                  <c:v>529319</c:v>
                </c:pt>
                <c:pt idx="5">
                  <c:v>619285</c:v>
                </c:pt>
                <c:pt idx="6">
                  <c:v>635882</c:v>
                </c:pt>
                <c:pt idx="7">
                  <c:v>653423</c:v>
                </c:pt>
                <c:pt idx="8">
                  <c:v>670956</c:v>
                </c:pt>
                <c:pt idx="9">
                  <c:v>693432</c:v>
                </c:pt>
                <c:pt idx="10">
                  <c:v>712815</c:v>
                </c:pt>
              </c:numCache>
            </c:numRef>
          </c:val>
          <c:extLst>
            <c:ext xmlns:c16="http://schemas.microsoft.com/office/drawing/2014/chart" uri="{C3380CC4-5D6E-409C-BE32-E72D297353CC}">
              <c16:uniqueId val="{00000001-BFF3-4567-A339-89983AAE5305}"/>
            </c:ext>
          </c:extLst>
        </c:ser>
        <c:dLbls>
          <c:showLegendKey val="0"/>
          <c:showVal val="1"/>
          <c:showCatName val="0"/>
          <c:showSerName val="0"/>
          <c:showPercent val="0"/>
          <c:showBubbleSize val="0"/>
        </c:dLbls>
        <c:gapWidth val="75"/>
        <c:axId val="45643264"/>
        <c:axId val="45644800"/>
      </c:barChart>
      <c:catAx>
        <c:axId val="45643264"/>
        <c:scaling>
          <c:orientation val="minMax"/>
        </c:scaling>
        <c:delete val="0"/>
        <c:axPos val="b"/>
        <c:numFmt formatCode="General" sourceLinked="1"/>
        <c:majorTickMark val="none"/>
        <c:minorTickMark val="none"/>
        <c:tickLblPos val="nextTo"/>
        <c:spPr>
          <a:ln w="2974">
            <a:solidFill>
              <a:srgbClr val="000000"/>
            </a:solidFill>
            <a:prstDash val="solid"/>
          </a:ln>
        </c:spPr>
        <c:txPr>
          <a:bodyPr rot="0" vert="horz"/>
          <a:lstStyle/>
          <a:p>
            <a:pPr>
              <a:defRPr/>
            </a:pPr>
            <a:endParaRPr lang="en-US"/>
          </a:p>
        </c:txPr>
        <c:crossAx val="45644800"/>
        <c:crosses val="autoZero"/>
        <c:auto val="1"/>
        <c:lblAlgn val="ctr"/>
        <c:lblOffset val="100"/>
        <c:tickLblSkip val="1"/>
        <c:tickMarkSkip val="1"/>
        <c:noMultiLvlLbl val="0"/>
      </c:catAx>
      <c:valAx>
        <c:axId val="45644800"/>
        <c:scaling>
          <c:orientation val="minMax"/>
        </c:scaling>
        <c:delete val="1"/>
        <c:axPos val="l"/>
        <c:numFmt formatCode="General" sourceLinked="1"/>
        <c:majorTickMark val="none"/>
        <c:minorTickMark val="none"/>
        <c:tickLblPos val="none"/>
        <c:crossAx val="45643264"/>
        <c:crosses val="autoZero"/>
        <c:crossBetween val="between"/>
      </c:valAx>
      <c:spPr>
        <a:noFill/>
        <a:ln w="25400">
          <a:noFill/>
        </a:ln>
      </c:spPr>
    </c:plotArea>
    <c:plotVisOnly val="1"/>
    <c:dispBlanksAs val="gap"/>
    <c:showDLblsOverMax val="0"/>
  </c:chart>
  <c:spPr>
    <a:ln>
      <a:noFill/>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75525-2E82-4D36-92D7-4DC0AF865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27</Pages>
  <Words>3652</Words>
  <Characters>20820</Characters>
  <Application>Microsoft Office Word</Application>
  <DocSecurity>0</DocSecurity>
  <Lines>173</Lines>
  <Paragraphs>48</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texte</vt:lpstr>
      <vt:lpstr>    </vt:lpstr>
      <vt:lpstr>        Final Review</vt:lpstr>
      <vt:lpstr>        Overall Supervision</vt:lpstr>
      <vt:lpstr>    </vt:lpstr>
      <vt:lpstr>    </vt:lpstr>
      <vt:lpstr>    </vt:lpstr>
      <vt:lpstr>    Important Remarks</vt:lpstr>
      <vt:lpstr/>
      <vt:lpstr/>
      <vt:lpstr>List of Tables</vt:lpstr>
    </vt:vector>
  </TitlesOfParts>
  <Company>pcbs</Company>
  <LinksUpToDate>false</LinksUpToDate>
  <CharactersWithSpaces>24424</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MOHAMMAD EL-MASRI</cp:lastModifiedBy>
  <cp:revision>32</cp:revision>
  <cp:lastPrinted>2021-11-10T08:02:00Z</cp:lastPrinted>
  <dcterms:created xsi:type="dcterms:W3CDTF">2020-10-28T09:14:00Z</dcterms:created>
  <dcterms:modified xsi:type="dcterms:W3CDTF">2021-11-10T08:02:00Z</dcterms:modified>
</cp:coreProperties>
</file>